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460" w:lineRule="exact"/>
        <w:ind w:left="720"/>
        <w:jc w:val="center"/>
        <w:rPr>
          <w:rFonts w:asciiTheme="minorEastAsia" w:hAnsiTheme="minorEastAsia" w:eastAsiaTheme="minorEastAsia" w:cstheme="majorEastAsia"/>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ajorEastAsia"/>
          <w:color w:val="000000" w:themeColor="text1"/>
          <w:sz w:val="30"/>
          <w:szCs w:val="30"/>
          <w:highlight w:val="none"/>
          <w14:textFill>
            <w14:solidFill>
              <w14:schemeClr w14:val="tx1"/>
            </w14:solidFill>
          </w14:textFill>
        </w:rPr>
        <w:t>服务内容及要求</w:t>
      </w:r>
    </w:p>
    <w:p>
      <w:pPr>
        <w:pStyle w:val="4"/>
        <w:spacing w:before="0" w:beforeAutospacing="0" w:after="0" w:afterAutospacing="0" w:line="460" w:lineRule="exact"/>
        <w:rPr>
          <w:rFonts w:asciiTheme="minorEastAsia" w:hAnsiTheme="minorEastAsia" w:eastAsiaTheme="minorEastAsia"/>
          <w:kern w:val="2"/>
          <w:szCs w:val="22"/>
          <w:highlight w:val="none"/>
        </w:rPr>
      </w:pPr>
      <w:r>
        <w:rPr>
          <w:rFonts w:asciiTheme="minorEastAsia" w:hAnsiTheme="minorEastAsia" w:eastAsiaTheme="minorEastAsia"/>
          <w:kern w:val="2"/>
          <w:szCs w:val="22"/>
          <w:highlight w:val="none"/>
        </w:rPr>
        <w:t>（一</w:t>
      </w:r>
      <w:r>
        <w:rPr>
          <w:rFonts w:hint="eastAsia" w:asciiTheme="minorEastAsia" w:hAnsiTheme="minorEastAsia" w:eastAsiaTheme="minorEastAsia"/>
          <w:kern w:val="2"/>
          <w:szCs w:val="22"/>
          <w:highlight w:val="none"/>
        </w:rPr>
        <w:t>）</w:t>
      </w:r>
      <w:r>
        <w:rPr>
          <w:rFonts w:asciiTheme="minorEastAsia" w:hAnsiTheme="minorEastAsia" w:eastAsiaTheme="minorEastAsia"/>
          <w:kern w:val="2"/>
          <w:szCs w:val="22"/>
          <w:highlight w:val="none"/>
        </w:rPr>
        <w:t>服务内容清单</w:t>
      </w:r>
    </w:p>
    <w:tbl>
      <w:tblPr>
        <w:tblStyle w:val="5"/>
        <w:tblW w:w="4716"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24"/>
        <w:gridCol w:w="970"/>
        <w:gridCol w:w="868"/>
        <w:gridCol w:w="17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3" w:hRule="atLeast"/>
          <w:jc w:val="center"/>
        </w:trPr>
        <w:tc>
          <w:tcPr>
            <w:tcW w:w="2691"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sz w:val="24"/>
                <w:highlight w:val="none"/>
              </w:rPr>
            </w:pPr>
            <w:r>
              <w:rPr>
                <w:rFonts w:ascii="宋体" w:hAnsi="宋体"/>
                <w:sz w:val="24"/>
                <w:highlight w:val="none"/>
              </w:rPr>
              <w:t>采购条目名称</w:t>
            </w:r>
          </w:p>
        </w:tc>
        <w:tc>
          <w:tcPr>
            <w:tcW w:w="618"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sz w:val="24"/>
                <w:highlight w:val="none"/>
              </w:rPr>
            </w:pPr>
            <w:r>
              <w:rPr>
                <w:rFonts w:ascii="宋体" w:hAnsi="宋体"/>
                <w:sz w:val="24"/>
                <w:highlight w:val="none"/>
              </w:rPr>
              <w:t>数量</w:t>
            </w:r>
          </w:p>
        </w:tc>
        <w:tc>
          <w:tcPr>
            <w:tcW w:w="553"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sz w:val="24"/>
                <w:highlight w:val="none"/>
              </w:rPr>
            </w:pPr>
            <w:r>
              <w:rPr>
                <w:rFonts w:ascii="宋体" w:hAnsi="宋体"/>
                <w:sz w:val="24"/>
                <w:highlight w:val="none"/>
              </w:rPr>
              <w:t>单位</w:t>
            </w:r>
          </w:p>
        </w:tc>
        <w:tc>
          <w:tcPr>
            <w:tcW w:w="1136" w:type="pct"/>
            <w:tcBorders>
              <w:top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r>
              <w:rPr>
                <w:rFonts w:ascii="宋体" w:hAnsi="宋体"/>
                <w:sz w:val="24"/>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48" w:hRule="atLeast"/>
          <w:jc w:val="center"/>
        </w:trPr>
        <w:tc>
          <w:tcPr>
            <w:tcW w:w="2691"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sz w:val="24"/>
                <w:highlight w:val="none"/>
              </w:rPr>
            </w:pPr>
            <w:r>
              <w:rPr>
                <w:rFonts w:hint="eastAsia" w:ascii="宋体" w:hAnsi="宋体"/>
                <w:sz w:val="24"/>
                <w:highlight w:val="none"/>
              </w:rPr>
              <w:t>广丰区2022-2023年耕地进出平衡调查及方案编制项目</w:t>
            </w:r>
          </w:p>
        </w:tc>
        <w:tc>
          <w:tcPr>
            <w:tcW w:w="618"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sz w:val="24"/>
                <w:highlight w:val="none"/>
              </w:rPr>
            </w:pPr>
            <w:r>
              <w:rPr>
                <w:rFonts w:ascii="宋体" w:hAnsi="宋体"/>
                <w:sz w:val="24"/>
                <w:highlight w:val="none"/>
              </w:rPr>
              <w:t>1</w:t>
            </w:r>
          </w:p>
        </w:tc>
        <w:tc>
          <w:tcPr>
            <w:tcW w:w="553"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sz w:val="24"/>
                <w:highlight w:val="none"/>
              </w:rPr>
            </w:pPr>
            <w:r>
              <w:rPr>
                <w:rFonts w:ascii="宋体" w:hAnsi="宋体"/>
                <w:sz w:val="24"/>
                <w:highlight w:val="none"/>
              </w:rPr>
              <w:t>项</w:t>
            </w:r>
          </w:p>
        </w:tc>
        <w:tc>
          <w:tcPr>
            <w:tcW w:w="1136" w:type="pct"/>
            <w:tcBorders>
              <w:top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r>
              <w:rPr>
                <w:rFonts w:ascii="宋体" w:hAnsi="宋体"/>
                <w:sz w:val="24"/>
                <w:highlight w:val="none"/>
              </w:rPr>
              <w:t>国内服务</w:t>
            </w:r>
          </w:p>
        </w:tc>
      </w:tr>
    </w:tbl>
    <w:p>
      <w:pPr>
        <w:rPr>
          <w:highlight w:val="none"/>
        </w:rPr>
      </w:pPr>
    </w:p>
    <w:p>
      <w:pPr>
        <w:spacing w:line="360" w:lineRule="auto"/>
        <w:rPr>
          <w:rFonts w:ascii="宋体" w:hAnsi="宋体"/>
          <w:sz w:val="24"/>
          <w:highlight w:val="none"/>
        </w:rPr>
      </w:pPr>
      <w:r>
        <w:rPr>
          <w:rFonts w:hint="eastAsia"/>
          <w:highlight w:val="none"/>
        </w:rPr>
        <w:t>（二）</w:t>
      </w:r>
      <w:r>
        <w:rPr>
          <w:rFonts w:ascii="宋体" w:hAnsi="宋体"/>
          <w:sz w:val="24"/>
          <w:highlight w:val="none"/>
        </w:rPr>
        <w:t>服务工作内容及要求：</w:t>
      </w:r>
    </w:p>
    <w:p>
      <w:pPr>
        <w:spacing w:line="360" w:lineRule="auto"/>
        <w:ind w:firstLine="480" w:firstLineChars="200"/>
        <w:rPr>
          <w:rFonts w:ascii="宋体" w:hAnsi="宋体"/>
          <w:sz w:val="24"/>
          <w:highlight w:val="none"/>
        </w:rPr>
      </w:pPr>
      <w:r>
        <w:rPr>
          <w:rFonts w:hint="eastAsia" w:ascii="宋体" w:hAnsi="宋体"/>
          <w:sz w:val="24"/>
          <w:highlight w:val="none"/>
        </w:rPr>
        <w:t>1、准备工作</w:t>
      </w:r>
    </w:p>
    <w:p>
      <w:pPr>
        <w:spacing w:line="360" w:lineRule="auto"/>
        <w:ind w:firstLine="480" w:firstLineChars="200"/>
        <w:rPr>
          <w:rFonts w:ascii="宋体" w:hAnsi="宋体"/>
          <w:sz w:val="24"/>
          <w:highlight w:val="none"/>
        </w:rPr>
      </w:pPr>
      <w:r>
        <w:rPr>
          <w:rFonts w:ascii="宋体" w:hAnsi="宋体"/>
          <w:sz w:val="24"/>
          <w:highlight w:val="none"/>
        </w:rPr>
        <w:t>根据项目需求，</w:t>
      </w:r>
      <w:r>
        <w:rPr>
          <w:rFonts w:hint="eastAsia" w:ascii="宋体" w:hAnsi="宋体"/>
          <w:sz w:val="24"/>
          <w:highlight w:val="none"/>
        </w:rPr>
        <w:t>收集广丰区永久基本农田、年度变更数据、生态红线、广丰区耕地质量等别更新成果等相关信息</w:t>
      </w:r>
      <w:r>
        <w:rPr>
          <w:rFonts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2、年度耕地进出数据汇总及编制进出平衡方案</w:t>
      </w:r>
    </w:p>
    <w:p>
      <w:pPr>
        <w:spacing w:line="360" w:lineRule="auto"/>
        <w:ind w:firstLine="480" w:firstLineChars="200"/>
        <w:rPr>
          <w:rFonts w:ascii="宋体" w:hAnsi="宋体"/>
          <w:sz w:val="24"/>
          <w:highlight w:val="none"/>
        </w:rPr>
      </w:pPr>
      <w:r>
        <w:rPr>
          <w:rFonts w:hint="eastAsia" w:ascii="宋体" w:hAnsi="宋体"/>
          <w:sz w:val="24"/>
          <w:highlight w:val="none"/>
        </w:rPr>
        <w:t>2.1、按照要求</w:t>
      </w:r>
      <w:r>
        <w:rPr>
          <w:rFonts w:ascii="宋体" w:hAnsi="宋体"/>
          <w:sz w:val="24"/>
          <w:highlight w:val="none"/>
        </w:rPr>
        <w:t>对202</w:t>
      </w:r>
      <w:r>
        <w:rPr>
          <w:rFonts w:hint="eastAsia" w:ascii="宋体" w:hAnsi="宋体"/>
          <w:sz w:val="24"/>
          <w:highlight w:val="none"/>
        </w:rPr>
        <w:t>2和</w:t>
      </w:r>
      <w:r>
        <w:rPr>
          <w:rFonts w:ascii="宋体" w:hAnsi="宋体"/>
          <w:sz w:val="24"/>
          <w:highlight w:val="none"/>
        </w:rPr>
        <w:t>2023年</w:t>
      </w:r>
      <w:r>
        <w:rPr>
          <w:rFonts w:hint="eastAsia" w:ascii="宋体" w:hAnsi="宋体"/>
          <w:sz w:val="24"/>
          <w:highlight w:val="none"/>
        </w:rPr>
        <w:t>，每年度对</w:t>
      </w:r>
      <w:r>
        <w:rPr>
          <w:rFonts w:ascii="宋体" w:hAnsi="宋体"/>
          <w:sz w:val="24"/>
          <w:highlight w:val="none"/>
        </w:rPr>
        <w:t>广丰区</w:t>
      </w:r>
      <w:r>
        <w:rPr>
          <w:rFonts w:hint="eastAsia" w:ascii="宋体" w:hAnsi="宋体"/>
          <w:sz w:val="24"/>
          <w:highlight w:val="none"/>
        </w:rPr>
        <w:t>耕地进出平衡初划地块进行调查底图制作并开展外业调查实地测量等工作，填写耕地进出平衡情况表，确定耕地进出平衡地块“进出”原因。</w:t>
      </w:r>
    </w:p>
    <w:p>
      <w:pPr>
        <w:spacing w:line="360" w:lineRule="auto"/>
        <w:ind w:firstLine="480" w:firstLineChars="200"/>
        <w:rPr>
          <w:rFonts w:ascii="宋体" w:hAnsi="宋体"/>
          <w:sz w:val="24"/>
          <w:highlight w:val="none"/>
        </w:rPr>
      </w:pPr>
      <w:r>
        <w:rPr>
          <w:rFonts w:hint="eastAsia" w:ascii="宋体" w:hAnsi="宋体"/>
          <w:sz w:val="24"/>
          <w:highlight w:val="none"/>
        </w:rPr>
        <w:t>2.2、根据江西省自然资源厅办公室关于做好 2022 年度</w:t>
      </w:r>
      <w:r>
        <w:rPr>
          <w:rFonts w:ascii="宋体" w:hAnsi="宋体"/>
          <w:sz w:val="24"/>
          <w:highlight w:val="none"/>
        </w:rPr>
        <w:t>耕地“进出平衡”工作的通知</w:t>
      </w:r>
      <w:r>
        <w:rPr>
          <w:rFonts w:hint="eastAsia" w:ascii="宋体" w:hAnsi="宋体"/>
          <w:sz w:val="24"/>
          <w:highlight w:val="none"/>
        </w:rPr>
        <w:t>对耕地</w:t>
      </w:r>
      <w:r>
        <w:rPr>
          <w:rFonts w:hint="eastAsia" w:ascii="宋体" w:hAnsi="宋体"/>
          <w:sz w:val="24"/>
          <w:highlight w:val="none"/>
          <w:lang w:val="zh-CN"/>
        </w:rPr>
        <w:t>“进出</w:t>
      </w:r>
      <w:r>
        <w:rPr>
          <w:rFonts w:hint="eastAsia" w:ascii="宋体" w:hAnsi="宋体"/>
          <w:sz w:val="24"/>
          <w:highlight w:val="none"/>
        </w:rPr>
        <w:t>平衡”可行性分析，</w:t>
      </w:r>
      <w:r>
        <w:rPr>
          <w:rFonts w:hint="eastAsia" w:ascii="宋体" w:hAnsi="宋体"/>
          <w:sz w:val="24"/>
          <w:highlight w:val="none"/>
          <w:lang w:val="zh-CN"/>
        </w:rPr>
        <w:t>地形坡度大于25°；位于自然保护区、公益林、天然保护林、生态保护红线、饮用水一</w:t>
      </w:r>
      <w:r>
        <w:rPr>
          <w:rFonts w:hint="eastAsia" w:ascii="宋体" w:hAnsi="宋体"/>
          <w:sz w:val="24"/>
          <w:highlight w:val="none"/>
        </w:rPr>
        <w:t>级水源地等重要生态保护区内及河道、湖区、水库堤防管理范围内；易受自然灾害损毁、受污染；已设立采矿权；已纳入土地征收成片开发范围内；已办理农用地转用和土地征收审批手续的地块不得纳入年度</w:t>
      </w:r>
      <w:r>
        <w:rPr>
          <w:rFonts w:hint="eastAsia" w:ascii="宋体" w:hAnsi="宋体"/>
          <w:sz w:val="24"/>
          <w:highlight w:val="none"/>
          <w:lang w:val="zh-CN"/>
        </w:rPr>
        <w:t>“耕</w:t>
      </w:r>
      <w:r>
        <w:rPr>
          <w:rFonts w:hint="eastAsia" w:ascii="宋体" w:hAnsi="宋体"/>
          <w:sz w:val="24"/>
          <w:highlight w:val="none"/>
        </w:rPr>
        <w:t>地转进</w:t>
      </w:r>
      <w:r>
        <w:rPr>
          <w:rFonts w:hint="eastAsia" w:ascii="宋体" w:hAnsi="宋体"/>
          <w:sz w:val="24"/>
          <w:highlight w:val="none"/>
          <w:lang w:val="zh-CN"/>
        </w:rPr>
        <w:t>”</w:t>
      </w:r>
      <w:r>
        <w:rPr>
          <w:rFonts w:hint="eastAsia" w:ascii="宋体" w:hAnsi="宋体"/>
          <w:sz w:val="24"/>
          <w:highlight w:val="none"/>
        </w:rPr>
        <w:t>范围，对符合条件的耕地进出平衡地块进行规划设计尽量确保“耕地转进”优先将与永久基本农田相连的“即可恢复”、“工程恢复”地类及已停止生产使用的设施农业建设用地等整治复垦为耕地，推动永久基本农田归并提质，实现集中连片、规模种植，并对数据汇总建库及进出平衡方案编制，制作土地利用现状分布图等技术服务。</w:t>
      </w:r>
    </w:p>
    <w:p>
      <w:pPr>
        <w:spacing w:line="360" w:lineRule="auto"/>
        <w:rPr>
          <w:rFonts w:ascii="宋体" w:hAnsi="宋体"/>
          <w:sz w:val="24"/>
          <w:highlight w:val="none"/>
        </w:rPr>
      </w:pPr>
      <w:r>
        <w:rPr>
          <w:rFonts w:hint="eastAsia" w:ascii="宋体" w:hAnsi="宋体"/>
          <w:sz w:val="24"/>
          <w:highlight w:val="none"/>
        </w:rPr>
        <w:t xml:space="preserve">   2.3、成果编制与审核，涉及林地、草地、坑塘水面整治为耕地的，经县（市、区）级以上相关主管部门同意后纳入方案，编制方案后经广丰区人民政府批准后组织实施，并报市自然资源主管部门审查，省自然资源主管部门备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2OTRkYWY2M2VhNzY2NDFkODI2ZWIxMjJhNDJkYmEifQ=="/>
  </w:docVars>
  <w:rsids>
    <w:rsidRoot w:val="00000000"/>
    <w:rsid w:val="6143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2023-05-31T06:02:22Z</dcterms:created>
  <dc:creator>Administrator</dc:creator>
  <cp:lastModifiedBy>Administrator</cp:lastModifiedBy>
  <dcterms:modified xsi:type="dcterms:W3CDTF">2023-05-31T06:02:32Z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B35933B3EF8742C296B43515EF07CEE6_12</vt:lpwstr>
  </property>
</Properties>
</file>