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20" w:lineRule="exact"/>
        <w:ind w:firstLine="883" w:firstLineChars="200"/>
        <w:jc w:val="center"/>
        <w:rPr>
          <w:rFonts w:hint="eastAsia" w:ascii="黑体" w:hAnsi="黑体" w:eastAsia="黑体"/>
          <w:b/>
          <w:sz w:val="44"/>
          <w:szCs w:val="44"/>
        </w:rPr>
      </w:pPr>
      <w:r>
        <w:rPr>
          <w:rFonts w:hint="eastAsia" w:ascii="黑体" w:hAnsi="黑体" w:eastAsia="黑体"/>
          <w:b/>
          <w:sz w:val="44"/>
          <w:szCs w:val="44"/>
        </w:rPr>
        <w:t>上饶市</w:t>
      </w:r>
      <w:r>
        <w:rPr>
          <w:rFonts w:hint="eastAsia" w:ascii="黑体" w:hAnsi="黑体" w:eastAsia="黑体"/>
          <w:b/>
          <w:sz w:val="44"/>
          <w:szCs w:val="44"/>
          <w:lang w:eastAsia="zh-CN"/>
        </w:rPr>
        <w:t>广丰区教育体育局</w:t>
      </w:r>
      <w:r>
        <w:rPr>
          <w:rFonts w:hint="eastAsia" w:ascii="黑体" w:hAnsi="黑体" w:eastAsia="黑体"/>
          <w:b/>
          <w:sz w:val="44"/>
          <w:szCs w:val="44"/>
        </w:rPr>
        <w:t>2022</w:t>
      </w:r>
    </w:p>
    <w:p>
      <w:pPr>
        <w:spacing w:line="520" w:lineRule="exact"/>
        <w:ind w:firstLine="883" w:firstLineChars="200"/>
        <w:jc w:val="center"/>
        <w:rPr>
          <w:rFonts w:hint="eastAsia" w:ascii="黑体" w:hAnsi="黑体" w:eastAsia="黑体"/>
          <w:b/>
          <w:sz w:val="44"/>
          <w:szCs w:val="44"/>
          <w:lang w:eastAsia="zh-CN"/>
        </w:rPr>
      </w:pPr>
      <w:r>
        <w:rPr>
          <w:rFonts w:hint="eastAsia" w:ascii="黑体" w:hAnsi="黑体" w:eastAsia="黑体"/>
          <w:b/>
          <w:sz w:val="44"/>
          <w:szCs w:val="44"/>
        </w:rPr>
        <w:t>年部门预算</w:t>
      </w:r>
      <w:r>
        <w:rPr>
          <w:rFonts w:hint="eastAsia" w:ascii="黑体" w:hAnsi="黑体" w:eastAsia="黑体"/>
          <w:b/>
          <w:sz w:val="44"/>
          <w:szCs w:val="44"/>
          <w:lang w:eastAsia="zh-CN"/>
        </w:rPr>
        <w:t>公开</w:t>
      </w:r>
    </w:p>
    <w:p>
      <w:pPr>
        <w:rPr>
          <w:rFonts w:hint="eastAsia"/>
        </w:rPr>
      </w:pPr>
    </w:p>
    <w:p>
      <w:pPr>
        <w:spacing w:line="600" w:lineRule="exact"/>
        <w:jc w:val="center"/>
        <w:rPr>
          <w:rFonts w:hint="eastAsia" w:ascii="黑体" w:eastAsia="黑体"/>
          <w:sz w:val="32"/>
          <w:szCs w:val="32"/>
        </w:rPr>
      </w:pPr>
      <w:r>
        <w:rPr>
          <w:rFonts w:hint="eastAsia" w:ascii="黑体" w:eastAsia="黑体"/>
          <w:sz w:val="32"/>
          <w:szCs w:val="32"/>
        </w:rPr>
        <w:t>目    录</w:t>
      </w:r>
    </w:p>
    <w:p>
      <w:pPr>
        <w:rPr>
          <w:rFonts w:hint="eastAsia"/>
        </w:rPr>
      </w:pPr>
    </w:p>
    <w:p>
      <w:pPr>
        <w:widowControl/>
        <w:spacing w:line="600" w:lineRule="exact"/>
        <w:ind w:firstLine="640"/>
        <w:jc w:val="left"/>
        <w:rPr>
          <w:rFonts w:hint="eastAsia" w:ascii="仿宋_GB2312" w:eastAsia="仿宋_GB2312"/>
          <w:b/>
          <w:sz w:val="32"/>
          <w:szCs w:val="30"/>
        </w:rPr>
      </w:pPr>
      <w:r>
        <w:rPr>
          <w:rFonts w:hint="eastAsia" w:ascii="仿宋_GB2312" w:eastAsia="仿宋_GB2312"/>
          <w:b/>
          <w:sz w:val="32"/>
          <w:szCs w:val="30"/>
        </w:rPr>
        <w:t>第一部分  上饶市</w:t>
      </w:r>
      <w:r>
        <w:rPr>
          <w:rFonts w:hint="eastAsia" w:ascii="仿宋_GB2312" w:eastAsia="仿宋_GB2312"/>
          <w:b/>
          <w:sz w:val="32"/>
          <w:szCs w:val="30"/>
          <w:lang w:eastAsia="zh-CN"/>
        </w:rPr>
        <w:t>广丰区教育体育局</w:t>
      </w:r>
      <w:r>
        <w:rPr>
          <w:rFonts w:hint="eastAsia" w:ascii="仿宋_GB2312" w:eastAsia="仿宋_GB2312"/>
          <w:b/>
          <w:sz w:val="32"/>
          <w:szCs w:val="30"/>
        </w:rPr>
        <w:t>概况</w:t>
      </w:r>
    </w:p>
    <w:p>
      <w:pPr>
        <w:widowControl/>
        <w:spacing w:line="600" w:lineRule="exact"/>
        <w:ind w:firstLine="640"/>
        <w:jc w:val="left"/>
        <w:rPr>
          <w:rFonts w:hint="eastAsia" w:ascii="楷体_GB2312" w:eastAsia="楷体_GB2312"/>
          <w:sz w:val="32"/>
          <w:szCs w:val="30"/>
        </w:rPr>
      </w:pPr>
      <w:r>
        <w:rPr>
          <w:rFonts w:hint="eastAsia" w:ascii="仿宋_GB2312" w:eastAsia="仿宋_GB2312"/>
          <w:b/>
          <w:sz w:val="32"/>
          <w:szCs w:val="30"/>
        </w:rPr>
        <w:t xml:space="preserve">  </w:t>
      </w:r>
      <w:r>
        <w:rPr>
          <w:rFonts w:hint="eastAsia" w:ascii="仿宋_GB2312" w:eastAsia="仿宋_GB2312"/>
          <w:sz w:val="32"/>
          <w:szCs w:val="30"/>
        </w:rPr>
        <w:t xml:space="preserve">  </w:t>
      </w:r>
      <w:r>
        <w:rPr>
          <w:rFonts w:hint="eastAsia" w:ascii="楷体_GB2312" w:eastAsia="楷体_GB2312"/>
          <w:sz w:val="32"/>
          <w:szCs w:val="30"/>
        </w:rPr>
        <w:t>一、部门主要职责</w:t>
      </w:r>
    </w:p>
    <w:p>
      <w:pPr>
        <w:widowControl/>
        <w:spacing w:line="600" w:lineRule="exact"/>
        <w:ind w:firstLine="640"/>
        <w:jc w:val="left"/>
        <w:rPr>
          <w:rFonts w:hint="eastAsia" w:ascii="楷体_GB2312" w:hAnsi="Calibri" w:eastAsia="楷体_GB2312" w:cs="宋体"/>
          <w:kern w:val="0"/>
          <w:sz w:val="32"/>
          <w:szCs w:val="32"/>
        </w:rPr>
      </w:pPr>
      <w:r>
        <w:rPr>
          <w:rFonts w:hint="eastAsia" w:ascii="楷体_GB2312" w:hAnsi="Calibri" w:eastAsia="楷体_GB2312" w:cs="宋体"/>
          <w:kern w:val="0"/>
          <w:sz w:val="32"/>
          <w:szCs w:val="32"/>
        </w:rPr>
        <w:t xml:space="preserve">    二、部门机构设置及人员基本情况</w:t>
      </w:r>
    </w:p>
    <w:p>
      <w:pPr>
        <w:widowControl/>
        <w:spacing w:line="600" w:lineRule="exact"/>
        <w:ind w:firstLine="640"/>
        <w:jc w:val="left"/>
        <w:rPr>
          <w:rFonts w:hint="eastAsia" w:ascii="仿宋_GB2312" w:eastAsia="仿宋_GB2312"/>
          <w:b/>
          <w:sz w:val="32"/>
          <w:szCs w:val="30"/>
        </w:rPr>
      </w:pPr>
      <w:r>
        <w:rPr>
          <w:rFonts w:hint="eastAsia" w:ascii="仿宋_GB2312" w:hAnsi="Calibri" w:eastAsia="仿宋_GB2312" w:cs="宋体"/>
          <w:b/>
          <w:kern w:val="0"/>
          <w:sz w:val="32"/>
          <w:szCs w:val="32"/>
        </w:rPr>
        <w:t xml:space="preserve">第二部分  </w:t>
      </w:r>
      <w:r>
        <w:rPr>
          <w:rFonts w:hint="eastAsia" w:ascii="仿宋_GB2312" w:eastAsia="仿宋_GB2312"/>
          <w:b/>
          <w:sz w:val="32"/>
          <w:szCs w:val="30"/>
        </w:rPr>
        <w:t>上饶市</w:t>
      </w:r>
      <w:r>
        <w:rPr>
          <w:rFonts w:hint="eastAsia" w:ascii="仿宋_GB2312" w:eastAsia="仿宋_GB2312"/>
          <w:b/>
          <w:sz w:val="32"/>
          <w:szCs w:val="30"/>
          <w:lang w:eastAsia="zh-CN"/>
        </w:rPr>
        <w:t>广丰区教育体育局</w:t>
      </w:r>
      <w:r>
        <w:rPr>
          <w:rFonts w:hint="eastAsia" w:ascii="仿宋_GB2312" w:eastAsia="仿宋_GB2312"/>
          <w:b/>
          <w:sz w:val="32"/>
          <w:szCs w:val="30"/>
        </w:rPr>
        <w:t>2022年部门预算情况说明</w:t>
      </w:r>
    </w:p>
    <w:p>
      <w:pPr>
        <w:widowControl/>
        <w:spacing w:line="600" w:lineRule="exact"/>
        <w:ind w:firstLine="1280" w:firstLineChars="400"/>
        <w:jc w:val="left"/>
        <w:rPr>
          <w:rFonts w:hint="eastAsia" w:ascii="楷体_GB2312" w:eastAsia="楷体_GB2312"/>
          <w:sz w:val="32"/>
          <w:szCs w:val="30"/>
        </w:rPr>
      </w:pPr>
      <w:r>
        <w:rPr>
          <w:rFonts w:hint="eastAsia" w:ascii="楷体_GB2312" w:eastAsia="楷体_GB2312"/>
          <w:sz w:val="32"/>
          <w:szCs w:val="30"/>
        </w:rPr>
        <w:t>一、2022年部门预算收支情况说明</w:t>
      </w:r>
    </w:p>
    <w:p>
      <w:pPr>
        <w:widowControl/>
        <w:spacing w:line="600" w:lineRule="exact"/>
        <w:ind w:firstLine="640"/>
        <w:jc w:val="left"/>
        <w:rPr>
          <w:rFonts w:hint="eastAsia" w:ascii="楷体_GB2312" w:eastAsia="楷体_GB2312"/>
          <w:sz w:val="32"/>
          <w:szCs w:val="30"/>
        </w:rPr>
      </w:pPr>
      <w:r>
        <w:rPr>
          <w:rFonts w:hint="eastAsia" w:ascii="楷体_GB2312" w:hAnsi="Calibri" w:eastAsia="楷体_GB2312" w:cs="宋体"/>
          <w:kern w:val="0"/>
          <w:sz w:val="32"/>
          <w:szCs w:val="32"/>
        </w:rPr>
        <w:t xml:space="preserve">    二、</w:t>
      </w:r>
      <w:r>
        <w:rPr>
          <w:rFonts w:hint="eastAsia" w:ascii="楷体_GB2312" w:eastAsia="楷体_GB2312"/>
          <w:sz w:val="32"/>
          <w:szCs w:val="30"/>
        </w:rPr>
        <w:t>2022年“三公”经费预算情况说明</w:t>
      </w:r>
    </w:p>
    <w:p>
      <w:pPr>
        <w:widowControl/>
        <w:spacing w:line="600" w:lineRule="exact"/>
        <w:ind w:firstLine="640"/>
        <w:jc w:val="left"/>
        <w:rPr>
          <w:rFonts w:hint="eastAsia" w:ascii="仿宋_GB2312" w:eastAsia="仿宋_GB2312"/>
          <w:b/>
          <w:sz w:val="32"/>
          <w:szCs w:val="30"/>
        </w:rPr>
      </w:pPr>
      <w:r>
        <w:rPr>
          <w:rFonts w:hint="eastAsia" w:ascii="仿宋_GB2312" w:eastAsia="仿宋_GB2312"/>
          <w:b/>
          <w:sz w:val="32"/>
          <w:szCs w:val="30"/>
        </w:rPr>
        <w:t>第三部分  上饶市</w:t>
      </w:r>
      <w:r>
        <w:rPr>
          <w:rFonts w:hint="eastAsia" w:ascii="仿宋_GB2312" w:eastAsia="仿宋_GB2312"/>
          <w:b/>
          <w:sz w:val="32"/>
          <w:szCs w:val="30"/>
          <w:lang w:eastAsia="zh-CN"/>
        </w:rPr>
        <w:t>广丰区教育体育局</w:t>
      </w:r>
      <w:r>
        <w:rPr>
          <w:rFonts w:hint="eastAsia" w:ascii="仿宋_GB2312" w:eastAsia="仿宋_GB2312"/>
          <w:b/>
          <w:sz w:val="32"/>
          <w:szCs w:val="30"/>
        </w:rPr>
        <w:t>2022年部门预算表</w:t>
      </w:r>
    </w:p>
    <w:p>
      <w:pPr>
        <w:keepNext w:val="0"/>
        <w:keepLines w:val="0"/>
        <w:pageBreakBefore w:val="0"/>
        <w:widowControl/>
        <w:kinsoku/>
        <w:wordWrap/>
        <w:overflowPunct/>
        <w:topLinePunct w:val="0"/>
        <w:autoSpaceDE/>
        <w:autoSpaceDN/>
        <w:bidi w:val="0"/>
        <w:adjustRightInd/>
        <w:snapToGrid/>
        <w:spacing w:line="500" w:lineRule="exact"/>
        <w:ind w:firstLine="1200" w:firstLineChars="400"/>
        <w:jc w:val="left"/>
        <w:textAlignment w:val="auto"/>
        <w:rPr>
          <w:rFonts w:hint="eastAsia" w:ascii="楷体_GB2312" w:eastAsia="楷体_GB2312"/>
          <w:sz w:val="30"/>
          <w:szCs w:val="30"/>
        </w:rPr>
      </w:pPr>
      <w:r>
        <w:rPr>
          <w:rFonts w:hint="eastAsia" w:ascii="楷体_GB2312" w:eastAsia="楷体_GB2312"/>
          <w:sz w:val="30"/>
          <w:szCs w:val="30"/>
        </w:rPr>
        <w:t>一、《部门预算收支总表》</w:t>
      </w:r>
    </w:p>
    <w:p>
      <w:pPr>
        <w:keepNext w:val="0"/>
        <w:keepLines w:val="0"/>
        <w:pageBreakBefore w:val="0"/>
        <w:widowControl/>
        <w:kinsoku/>
        <w:wordWrap/>
        <w:overflowPunct/>
        <w:topLinePunct w:val="0"/>
        <w:autoSpaceDE/>
        <w:autoSpaceDN/>
        <w:bidi w:val="0"/>
        <w:adjustRightInd/>
        <w:snapToGrid/>
        <w:spacing w:line="500" w:lineRule="exact"/>
        <w:ind w:firstLine="1200" w:firstLineChars="400"/>
        <w:jc w:val="left"/>
        <w:textAlignment w:val="auto"/>
        <w:rPr>
          <w:rFonts w:hint="eastAsia" w:ascii="楷体_GB2312" w:eastAsia="楷体_GB2312"/>
          <w:sz w:val="30"/>
          <w:szCs w:val="30"/>
        </w:rPr>
      </w:pPr>
      <w:r>
        <w:rPr>
          <w:rFonts w:hint="eastAsia" w:ascii="楷体_GB2312" w:eastAsia="楷体_GB2312"/>
          <w:sz w:val="30"/>
          <w:szCs w:val="30"/>
        </w:rPr>
        <w:t>二、《部门收入总表》</w:t>
      </w:r>
    </w:p>
    <w:p>
      <w:pPr>
        <w:keepNext w:val="0"/>
        <w:keepLines w:val="0"/>
        <w:pageBreakBefore w:val="0"/>
        <w:widowControl/>
        <w:kinsoku/>
        <w:wordWrap/>
        <w:overflowPunct/>
        <w:topLinePunct w:val="0"/>
        <w:autoSpaceDE/>
        <w:autoSpaceDN/>
        <w:bidi w:val="0"/>
        <w:adjustRightInd/>
        <w:snapToGrid/>
        <w:spacing w:line="500" w:lineRule="exact"/>
        <w:ind w:firstLine="1200" w:firstLineChars="400"/>
        <w:jc w:val="left"/>
        <w:textAlignment w:val="auto"/>
        <w:rPr>
          <w:rFonts w:hint="eastAsia" w:ascii="楷体_GB2312" w:eastAsia="楷体_GB2312"/>
          <w:sz w:val="30"/>
          <w:szCs w:val="30"/>
        </w:rPr>
      </w:pPr>
      <w:r>
        <w:rPr>
          <w:rFonts w:hint="eastAsia" w:ascii="楷体_GB2312" w:eastAsia="楷体_GB2312"/>
          <w:sz w:val="30"/>
          <w:szCs w:val="30"/>
        </w:rPr>
        <w:t>三、《部门支出总表》</w:t>
      </w:r>
    </w:p>
    <w:p>
      <w:pPr>
        <w:keepNext w:val="0"/>
        <w:keepLines w:val="0"/>
        <w:pageBreakBefore w:val="0"/>
        <w:widowControl/>
        <w:kinsoku/>
        <w:wordWrap/>
        <w:overflowPunct/>
        <w:topLinePunct w:val="0"/>
        <w:autoSpaceDE/>
        <w:autoSpaceDN/>
        <w:bidi w:val="0"/>
        <w:adjustRightInd/>
        <w:snapToGrid/>
        <w:spacing w:line="500" w:lineRule="exact"/>
        <w:ind w:firstLine="1200" w:firstLineChars="400"/>
        <w:jc w:val="left"/>
        <w:textAlignment w:val="auto"/>
        <w:rPr>
          <w:rFonts w:hint="eastAsia" w:ascii="楷体_GB2312" w:eastAsia="楷体_GB2312"/>
          <w:sz w:val="30"/>
          <w:szCs w:val="30"/>
        </w:rPr>
      </w:pPr>
      <w:r>
        <w:rPr>
          <w:rFonts w:hint="eastAsia" w:ascii="楷体_GB2312" w:eastAsia="楷体_GB2312"/>
          <w:sz w:val="30"/>
          <w:szCs w:val="30"/>
        </w:rPr>
        <w:t>四、《财政拨款收支总表》</w:t>
      </w:r>
    </w:p>
    <w:p>
      <w:pPr>
        <w:keepNext w:val="0"/>
        <w:keepLines w:val="0"/>
        <w:pageBreakBefore w:val="0"/>
        <w:widowControl/>
        <w:kinsoku/>
        <w:wordWrap/>
        <w:overflowPunct/>
        <w:topLinePunct w:val="0"/>
        <w:autoSpaceDE/>
        <w:autoSpaceDN/>
        <w:bidi w:val="0"/>
        <w:adjustRightInd/>
        <w:snapToGrid/>
        <w:spacing w:line="500" w:lineRule="exact"/>
        <w:ind w:firstLine="1200" w:firstLineChars="400"/>
        <w:jc w:val="left"/>
        <w:textAlignment w:val="auto"/>
        <w:rPr>
          <w:rFonts w:hint="eastAsia" w:ascii="楷体_GB2312" w:eastAsia="楷体_GB2312"/>
          <w:sz w:val="30"/>
          <w:szCs w:val="30"/>
        </w:rPr>
      </w:pPr>
      <w:r>
        <w:rPr>
          <w:rFonts w:hint="eastAsia" w:ascii="楷体_GB2312" w:eastAsia="楷体_GB2312"/>
          <w:sz w:val="30"/>
          <w:szCs w:val="30"/>
        </w:rPr>
        <w:t>五、《一般公共预算支出表》</w:t>
      </w:r>
    </w:p>
    <w:p>
      <w:pPr>
        <w:keepNext w:val="0"/>
        <w:keepLines w:val="0"/>
        <w:pageBreakBefore w:val="0"/>
        <w:widowControl/>
        <w:kinsoku/>
        <w:wordWrap/>
        <w:overflowPunct/>
        <w:topLinePunct w:val="0"/>
        <w:autoSpaceDE/>
        <w:autoSpaceDN/>
        <w:bidi w:val="0"/>
        <w:adjustRightInd/>
        <w:snapToGrid/>
        <w:spacing w:line="500" w:lineRule="exact"/>
        <w:ind w:firstLine="1200" w:firstLineChars="400"/>
        <w:jc w:val="left"/>
        <w:textAlignment w:val="auto"/>
        <w:rPr>
          <w:rFonts w:hint="eastAsia" w:ascii="楷体_GB2312" w:eastAsia="楷体_GB2312"/>
          <w:sz w:val="30"/>
          <w:szCs w:val="30"/>
        </w:rPr>
      </w:pPr>
      <w:r>
        <w:rPr>
          <w:rFonts w:hint="eastAsia" w:ascii="楷体_GB2312" w:eastAsia="楷体_GB2312"/>
          <w:sz w:val="30"/>
          <w:szCs w:val="30"/>
        </w:rPr>
        <w:t>六、《一般公共预算基本支出表》</w:t>
      </w:r>
    </w:p>
    <w:p>
      <w:pPr>
        <w:keepNext w:val="0"/>
        <w:keepLines w:val="0"/>
        <w:pageBreakBefore w:val="0"/>
        <w:widowControl/>
        <w:kinsoku/>
        <w:wordWrap/>
        <w:overflowPunct/>
        <w:topLinePunct w:val="0"/>
        <w:autoSpaceDE/>
        <w:autoSpaceDN/>
        <w:bidi w:val="0"/>
        <w:adjustRightInd/>
        <w:snapToGrid/>
        <w:spacing w:line="500" w:lineRule="exact"/>
        <w:ind w:firstLine="1200" w:firstLineChars="400"/>
        <w:jc w:val="left"/>
        <w:textAlignment w:val="auto"/>
        <w:rPr>
          <w:rFonts w:hint="eastAsia" w:ascii="楷体_GB2312" w:eastAsia="楷体_GB2312"/>
          <w:sz w:val="30"/>
          <w:szCs w:val="30"/>
        </w:rPr>
      </w:pPr>
      <w:r>
        <w:rPr>
          <w:rFonts w:hint="eastAsia" w:ascii="楷体_GB2312" w:eastAsia="楷体_GB2312"/>
          <w:sz w:val="30"/>
          <w:szCs w:val="30"/>
        </w:rPr>
        <w:t>七、《一般公共预算“三公”经费支出表》</w:t>
      </w:r>
    </w:p>
    <w:p>
      <w:pPr>
        <w:keepNext w:val="0"/>
        <w:keepLines w:val="0"/>
        <w:pageBreakBefore w:val="0"/>
        <w:widowControl/>
        <w:kinsoku/>
        <w:wordWrap/>
        <w:overflowPunct/>
        <w:topLinePunct w:val="0"/>
        <w:autoSpaceDE/>
        <w:autoSpaceDN/>
        <w:bidi w:val="0"/>
        <w:adjustRightInd/>
        <w:snapToGrid/>
        <w:spacing w:line="500" w:lineRule="exact"/>
        <w:ind w:firstLine="1200" w:firstLineChars="400"/>
        <w:jc w:val="left"/>
        <w:textAlignment w:val="auto"/>
        <w:rPr>
          <w:rFonts w:hint="eastAsia" w:ascii="楷体_GB2312" w:eastAsia="楷体_GB2312"/>
          <w:sz w:val="30"/>
          <w:szCs w:val="30"/>
        </w:rPr>
      </w:pPr>
      <w:r>
        <w:rPr>
          <w:rFonts w:hint="eastAsia" w:ascii="楷体_GB2312" w:eastAsia="楷体_GB2312"/>
          <w:sz w:val="30"/>
          <w:szCs w:val="30"/>
        </w:rPr>
        <w:t>八、《政府性基金预算支出表》</w:t>
      </w:r>
    </w:p>
    <w:p>
      <w:pPr>
        <w:keepNext w:val="0"/>
        <w:keepLines w:val="0"/>
        <w:pageBreakBefore w:val="0"/>
        <w:widowControl/>
        <w:kinsoku/>
        <w:wordWrap/>
        <w:overflowPunct/>
        <w:topLinePunct w:val="0"/>
        <w:autoSpaceDE/>
        <w:autoSpaceDN/>
        <w:bidi w:val="0"/>
        <w:adjustRightInd/>
        <w:snapToGrid/>
        <w:spacing w:line="500" w:lineRule="exact"/>
        <w:ind w:firstLine="1200" w:firstLineChars="400"/>
        <w:jc w:val="left"/>
        <w:textAlignment w:val="auto"/>
        <w:rPr>
          <w:rFonts w:hint="eastAsia" w:ascii="楷体_GB2312" w:eastAsia="楷体_GB2312"/>
          <w:sz w:val="30"/>
          <w:szCs w:val="30"/>
        </w:rPr>
      </w:pPr>
      <w:r>
        <w:rPr>
          <w:rFonts w:hint="eastAsia" w:ascii="楷体_GB2312" w:eastAsia="楷体_GB2312"/>
          <w:sz w:val="30"/>
          <w:szCs w:val="30"/>
        </w:rPr>
        <w:t>九、《国有资本经营预算支出表》</w:t>
      </w:r>
    </w:p>
    <w:p>
      <w:pPr>
        <w:keepNext w:val="0"/>
        <w:keepLines w:val="0"/>
        <w:pageBreakBefore w:val="0"/>
        <w:widowControl/>
        <w:kinsoku/>
        <w:wordWrap/>
        <w:overflowPunct/>
        <w:topLinePunct w:val="0"/>
        <w:autoSpaceDE/>
        <w:autoSpaceDN/>
        <w:bidi w:val="0"/>
        <w:adjustRightInd/>
        <w:snapToGrid/>
        <w:spacing w:line="500" w:lineRule="exact"/>
        <w:ind w:firstLine="1200" w:firstLineChars="400"/>
        <w:jc w:val="left"/>
        <w:textAlignment w:val="auto"/>
        <w:rPr>
          <w:rFonts w:hint="eastAsia" w:ascii="楷体_GB2312" w:eastAsia="楷体_GB2312"/>
          <w:sz w:val="30"/>
          <w:szCs w:val="30"/>
        </w:rPr>
      </w:pPr>
      <w:r>
        <w:rPr>
          <w:rFonts w:hint="eastAsia" w:ascii="楷体_GB2312" w:eastAsia="楷体_GB2312"/>
          <w:sz w:val="30"/>
          <w:szCs w:val="30"/>
        </w:rPr>
        <w:t>十、《部门整体支出绩效目标表》</w:t>
      </w:r>
    </w:p>
    <w:p>
      <w:pPr>
        <w:keepNext w:val="0"/>
        <w:keepLines w:val="0"/>
        <w:pageBreakBefore w:val="0"/>
        <w:widowControl/>
        <w:kinsoku/>
        <w:wordWrap/>
        <w:overflowPunct/>
        <w:topLinePunct w:val="0"/>
        <w:autoSpaceDE/>
        <w:autoSpaceDN/>
        <w:bidi w:val="0"/>
        <w:adjustRightInd/>
        <w:snapToGrid/>
        <w:spacing w:line="500" w:lineRule="exact"/>
        <w:ind w:firstLine="1200" w:firstLineChars="400"/>
        <w:jc w:val="left"/>
        <w:textAlignment w:val="auto"/>
        <w:rPr>
          <w:rFonts w:hint="eastAsia" w:ascii="楷体_GB2312" w:eastAsia="楷体_GB2312"/>
          <w:sz w:val="30"/>
          <w:szCs w:val="30"/>
        </w:rPr>
      </w:pPr>
      <w:r>
        <w:rPr>
          <w:rFonts w:hint="eastAsia" w:ascii="楷体_GB2312" w:eastAsia="楷体_GB2312"/>
          <w:sz w:val="30"/>
          <w:szCs w:val="30"/>
        </w:rPr>
        <w:t>十一、《重点项目绩效目标表》</w:t>
      </w:r>
    </w:p>
    <w:p>
      <w:pPr>
        <w:widowControl/>
        <w:spacing w:line="360" w:lineRule="auto"/>
        <w:jc w:val="center"/>
        <w:rPr>
          <w:rFonts w:hint="eastAsia" w:ascii="黑体" w:hAnsi="黑体" w:eastAsia="黑体" w:cs="Times New Roman"/>
          <w:sz w:val="32"/>
          <w:szCs w:val="32"/>
        </w:rPr>
      </w:pPr>
    </w:p>
    <w:p>
      <w:pPr>
        <w:widowControl/>
        <w:spacing w:line="580" w:lineRule="exact"/>
        <w:jc w:val="center"/>
        <w:rPr>
          <w:rFonts w:hint="eastAsia" w:ascii="仿宋_GB2312" w:eastAsia="仿宋_GB2312"/>
          <w:b/>
          <w:sz w:val="32"/>
          <w:szCs w:val="30"/>
        </w:rPr>
      </w:pPr>
      <w:r>
        <w:rPr>
          <w:rFonts w:hint="eastAsia" w:ascii="黑体" w:hAnsi="黑体" w:eastAsia="黑体" w:cs="Times New Roman"/>
          <w:sz w:val="32"/>
          <w:szCs w:val="32"/>
        </w:rPr>
        <w:t xml:space="preserve">第一部分  </w:t>
      </w:r>
      <w:r>
        <w:rPr>
          <w:rFonts w:hint="eastAsia" w:ascii="仿宋_GB2312" w:eastAsia="仿宋_GB2312"/>
          <w:b/>
          <w:sz w:val="32"/>
          <w:szCs w:val="30"/>
        </w:rPr>
        <w:t>上饶市</w:t>
      </w:r>
      <w:r>
        <w:rPr>
          <w:rFonts w:hint="eastAsia" w:ascii="仿宋_GB2312" w:eastAsia="仿宋_GB2312"/>
          <w:b/>
          <w:sz w:val="32"/>
          <w:szCs w:val="30"/>
          <w:lang w:eastAsia="zh-CN"/>
        </w:rPr>
        <w:t>广丰区教育体育局</w:t>
      </w:r>
      <w:r>
        <w:rPr>
          <w:rFonts w:hint="eastAsia" w:ascii="仿宋_GB2312" w:eastAsia="仿宋_GB2312"/>
          <w:b/>
          <w:sz w:val="32"/>
          <w:szCs w:val="30"/>
        </w:rPr>
        <w:t>概况</w:t>
      </w:r>
    </w:p>
    <w:p>
      <w:pPr>
        <w:widowControl/>
        <w:spacing w:line="360" w:lineRule="auto"/>
        <w:jc w:val="center"/>
        <w:rPr>
          <w:rFonts w:ascii="黑体" w:hAnsi="黑体" w:eastAsia="黑体" w:cs="Times New Roman"/>
          <w:sz w:val="32"/>
          <w:szCs w:val="32"/>
        </w:rPr>
      </w:pPr>
    </w:p>
    <w:p>
      <w:pPr>
        <w:spacing w:line="360" w:lineRule="auto"/>
        <w:ind w:firstLine="630" w:firstLineChars="196"/>
        <w:jc w:val="left"/>
        <w:rPr>
          <w:rFonts w:ascii="楷体" w:hAnsi="楷体" w:eastAsia="楷体" w:cs="Times New Roman"/>
          <w:b/>
          <w:sz w:val="32"/>
          <w:szCs w:val="32"/>
        </w:rPr>
      </w:pPr>
      <w:r>
        <w:rPr>
          <w:rFonts w:hint="eastAsia" w:ascii="楷体" w:hAnsi="楷体" w:eastAsia="楷体" w:cs="Times New Roman"/>
          <w:b/>
          <w:sz w:val="32"/>
          <w:szCs w:val="32"/>
        </w:rPr>
        <w:t>一、部门主要职能</w:t>
      </w:r>
    </w:p>
    <w:p>
      <w:pPr>
        <w:pStyle w:val="4"/>
        <w:shd w:val="clear" w:color="auto" w:fill="FFFFFF"/>
        <w:spacing w:before="0" w:beforeAutospacing="0" w:after="0" w:afterAutospacing="0"/>
        <w:ind w:firstLine="560" w:firstLineChars="200"/>
        <w:rPr>
          <w:rFonts w:hint="eastAsia" w:ascii="宋体" w:hAnsi="宋体"/>
          <w:color w:val="000000"/>
          <w:sz w:val="28"/>
          <w:szCs w:val="28"/>
        </w:rPr>
      </w:pPr>
      <w:r>
        <w:rPr>
          <w:rFonts w:ascii="宋体" w:hAnsi="宋体"/>
          <w:color w:val="000000"/>
          <w:sz w:val="28"/>
          <w:szCs w:val="28"/>
        </w:rPr>
        <w:t>1、全面贯彻党和国家的教育、体育工作方针，落实国家有关教育、体育的法律、法规，研究起草全</w:t>
      </w:r>
      <w:r>
        <w:rPr>
          <w:rFonts w:hint="eastAsia" w:ascii="宋体" w:hAnsi="宋体"/>
          <w:color w:val="000000"/>
          <w:sz w:val="28"/>
          <w:szCs w:val="28"/>
        </w:rPr>
        <w:t>区</w:t>
      </w:r>
      <w:r>
        <w:rPr>
          <w:rFonts w:ascii="宋体" w:hAnsi="宋体"/>
          <w:color w:val="000000"/>
          <w:sz w:val="28"/>
          <w:szCs w:val="28"/>
        </w:rPr>
        <w:t>有关教育、体育的政策和规定，并负责实施。</w:t>
      </w:r>
    </w:p>
    <w:p>
      <w:pPr>
        <w:pStyle w:val="4"/>
        <w:shd w:val="clear" w:color="auto" w:fill="FFFFFF"/>
        <w:spacing w:before="0" w:beforeAutospacing="0" w:after="0" w:afterAutospacing="0"/>
        <w:ind w:firstLine="560" w:firstLineChars="200"/>
        <w:rPr>
          <w:rFonts w:hint="eastAsia" w:ascii="宋体" w:hAnsi="宋体"/>
          <w:color w:val="000000"/>
          <w:sz w:val="28"/>
          <w:szCs w:val="28"/>
        </w:rPr>
      </w:pPr>
      <w:r>
        <w:rPr>
          <w:rFonts w:ascii="宋体" w:hAnsi="宋体"/>
          <w:color w:val="000000"/>
          <w:sz w:val="28"/>
          <w:szCs w:val="28"/>
        </w:rPr>
        <w:t>2、研究制订全</w:t>
      </w:r>
      <w:r>
        <w:rPr>
          <w:rFonts w:hint="eastAsia" w:ascii="宋体" w:hAnsi="宋体"/>
          <w:color w:val="000000"/>
          <w:sz w:val="28"/>
          <w:szCs w:val="28"/>
        </w:rPr>
        <w:t>区</w:t>
      </w:r>
      <w:r>
        <w:rPr>
          <w:rFonts w:ascii="宋体" w:hAnsi="宋体"/>
          <w:color w:val="000000"/>
          <w:sz w:val="28"/>
          <w:szCs w:val="28"/>
        </w:rPr>
        <w:t>教育事业、体育事业的发展规划及年度计划，并指导、协调、组织规划和计划的实施。</w:t>
      </w:r>
    </w:p>
    <w:p>
      <w:pPr>
        <w:pStyle w:val="4"/>
        <w:shd w:val="clear" w:color="auto" w:fill="FFFFFF"/>
        <w:spacing w:before="0" w:beforeAutospacing="0" w:after="0" w:afterAutospacing="0"/>
        <w:ind w:firstLine="560" w:firstLineChars="200"/>
        <w:rPr>
          <w:rFonts w:hint="eastAsia" w:ascii="宋体" w:hAnsi="宋体"/>
          <w:color w:val="000000"/>
          <w:sz w:val="28"/>
          <w:szCs w:val="28"/>
        </w:rPr>
      </w:pPr>
      <w:r>
        <w:rPr>
          <w:rFonts w:ascii="宋体" w:hAnsi="宋体"/>
          <w:color w:val="000000"/>
          <w:sz w:val="28"/>
          <w:szCs w:val="28"/>
        </w:rPr>
        <w:t>3、统筹规划、协调指导教育体制和办学体制的综合改革。</w:t>
      </w:r>
    </w:p>
    <w:p>
      <w:pPr>
        <w:pStyle w:val="4"/>
        <w:shd w:val="clear" w:color="auto" w:fill="FFFFFF"/>
        <w:spacing w:before="0" w:beforeAutospacing="0" w:after="0" w:afterAutospacing="0"/>
        <w:ind w:firstLine="560" w:firstLineChars="200"/>
        <w:rPr>
          <w:rFonts w:hint="eastAsia" w:ascii="宋体" w:hAnsi="宋体"/>
          <w:color w:val="000000"/>
          <w:sz w:val="28"/>
          <w:szCs w:val="28"/>
        </w:rPr>
      </w:pPr>
      <w:r>
        <w:rPr>
          <w:rFonts w:ascii="宋体" w:hAnsi="宋体"/>
          <w:color w:val="000000"/>
          <w:sz w:val="28"/>
          <w:szCs w:val="28"/>
        </w:rPr>
        <w:t>4、综合管理全</w:t>
      </w:r>
      <w:r>
        <w:rPr>
          <w:rFonts w:hint="eastAsia" w:ascii="宋体" w:hAnsi="宋体"/>
          <w:color w:val="000000"/>
          <w:sz w:val="28"/>
          <w:szCs w:val="28"/>
        </w:rPr>
        <w:t>区</w:t>
      </w:r>
      <w:r>
        <w:rPr>
          <w:rFonts w:ascii="宋体" w:hAnsi="宋体"/>
          <w:color w:val="000000"/>
          <w:sz w:val="28"/>
          <w:szCs w:val="28"/>
        </w:rPr>
        <w:t>基础教育（含学前教育）、职业教育、成人教育以及社会力量办学等工作，指导、协调各镇乡的教育工作，负责教育督导、检查与评估。</w:t>
      </w:r>
    </w:p>
    <w:p>
      <w:pPr>
        <w:pStyle w:val="4"/>
        <w:shd w:val="clear" w:color="auto" w:fill="FFFFFF"/>
        <w:spacing w:before="0" w:beforeAutospacing="0" w:after="0" w:afterAutospacing="0"/>
        <w:ind w:firstLine="560" w:firstLineChars="200"/>
        <w:rPr>
          <w:rFonts w:hint="eastAsia" w:ascii="宋体" w:hAnsi="宋体"/>
          <w:color w:val="000000"/>
          <w:sz w:val="28"/>
          <w:szCs w:val="28"/>
        </w:rPr>
      </w:pPr>
      <w:r>
        <w:rPr>
          <w:rFonts w:ascii="宋体" w:hAnsi="宋体"/>
          <w:color w:val="000000"/>
          <w:sz w:val="28"/>
          <w:szCs w:val="28"/>
        </w:rPr>
        <w:t>5、负责全</w:t>
      </w:r>
      <w:r>
        <w:rPr>
          <w:rFonts w:hint="eastAsia" w:ascii="宋体" w:hAnsi="宋体"/>
          <w:color w:val="000000"/>
          <w:sz w:val="28"/>
          <w:szCs w:val="28"/>
        </w:rPr>
        <w:t>区</w:t>
      </w:r>
      <w:r>
        <w:rPr>
          <w:rFonts w:ascii="宋体" w:hAnsi="宋体"/>
          <w:color w:val="000000"/>
          <w:sz w:val="28"/>
          <w:szCs w:val="28"/>
        </w:rPr>
        <w:t>教育系统人员工资、教师资格认定、职称评审及人事管理、考核和调配工作，统筹规划并指导教师和教育行政干部队伍的建设工作，负责师范类毕业生的就业指导工作，管理教育内部人才市场，指导教育系统人事制度改革。</w:t>
      </w:r>
    </w:p>
    <w:p>
      <w:pPr>
        <w:pStyle w:val="4"/>
        <w:shd w:val="clear" w:color="auto" w:fill="FFFFFF"/>
        <w:spacing w:before="0" w:beforeAutospacing="0" w:after="0" w:afterAutospacing="0"/>
        <w:ind w:firstLine="560" w:firstLineChars="200"/>
        <w:rPr>
          <w:rFonts w:hint="eastAsia" w:ascii="宋体" w:hAnsi="宋体"/>
          <w:color w:val="000000"/>
          <w:sz w:val="28"/>
          <w:szCs w:val="28"/>
        </w:rPr>
      </w:pPr>
      <w:r>
        <w:rPr>
          <w:rFonts w:ascii="宋体" w:hAnsi="宋体"/>
          <w:color w:val="000000"/>
          <w:sz w:val="28"/>
          <w:szCs w:val="28"/>
        </w:rPr>
        <w:t>6、提出财政预算内教育经费预算方案的建设，并会同</w:t>
      </w:r>
      <w:r>
        <w:rPr>
          <w:rFonts w:hint="eastAsia" w:ascii="宋体" w:hAnsi="宋体"/>
          <w:color w:val="000000"/>
          <w:sz w:val="28"/>
          <w:szCs w:val="28"/>
        </w:rPr>
        <w:t>区</w:t>
      </w:r>
      <w:r>
        <w:rPr>
          <w:rFonts w:ascii="宋体" w:hAnsi="宋体"/>
          <w:color w:val="000000"/>
          <w:sz w:val="28"/>
          <w:szCs w:val="28"/>
        </w:rPr>
        <w:t>有关部门草拟教育拨款、教育收费、教育经费筹措、教育基建投资等方面的政策规定，负责统筹管理县下达的教育经费以及其他款项的教育经费及经费使用情况的审计。</w:t>
      </w:r>
    </w:p>
    <w:p>
      <w:pPr>
        <w:pStyle w:val="4"/>
        <w:shd w:val="clear" w:color="auto" w:fill="FFFFFF"/>
        <w:spacing w:before="0" w:beforeAutospacing="0" w:after="0" w:afterAutospacing="0"/>
        <w:ind w:firstLine="560" w:firstLineChars="200"/>
        <w:rPr>
          <w:rFonts w:hint="eastAsia" w:ascii="宋体" w:hAnsi="宋体"/>
          <w:color w:val="000000"/>
          <w:sz w:val="28"/>
          <w:szCs w:val="28"/>
        </w:rPr>
      </w:pPr>
      <w:r>
        <w:rPr>
          <w:rFonts w:ascii="宋体" w:hAnsi="宋体"/>
          <w:color w:val="000000"/>
          <w:sz w:val="28"/>
          <w:szCs w:val="28"/>
        </w:rPr>
        <w:t>7、指导全</w:t>
      </w:r>
      <w:r>
        <w:rPr>
          <w:rFonts w:hint="eastAsia" w:ascii="宋体" w:hAnsi="宋体"/>
          <w:color w:val="000000"/>
          <w:sz w:val="28"/>
          <w:szCs w:val="28"/>
        </w:rPr>
        <w:t>区</w:t>
      </w:r>
      <w:r>
        <w:rPr>
          <w:rFonts w:ascii="宋体" w:hAnsi="宋体"/>
          <w:color w:val="000000"/>
          <w:sz w:val="28"/>
          <w:szCs w:val="28"/>
        </w:rPr>
        <w:t>各级各类学校思想政治工作，精神文明建设工作、德育工作、教育教学工作、体卫工作，美育工作和国防教育等工作。</w:t>
      </w:r>
    </w:p>
    <w:p>
      <w:pPr>
        <w:pStyle w:val="4"/>
        <w:shd w:val="clear" w:color="auto" w:fill="FFFFFF"/>
        <w:spacing w:before="0" w:beforeAutospacing="0" w:after="0" w:afterAutospacing="0"/>
        <w:ind w:firstLine="560" w:firstLineChars="200"/>
        <w:rPr>
          <w:rFonts w:hint="eastAsia" w:ascii="宋体" w:hAnsi="宋体"/>
          <w:color w:val="000000"/>
          <w:sz w:val="28"/>
          <w:szCs w:val="28"/>
        </w:rPr>
      </w:pPr>
      <w:r>
        <w:rPr>
          <w:rFonts w:ascii="宋体" w:hAnsi="宋体"/>
          <w:color w:val="000000"/>
          <w:sz w:val="28"/>
          <w:szCs w:val="28"/>
        </w:rPr>
        <w:t>8、主管全</w:t>
      </w:r>
      <w:r>
        <w:rPr>
          <w:rFonts w:hint="eastAsia" w:ascii="宋体" w:hAnsi="宋体"/>
          <w:color w:val="000000"/>
          <w:sz w:val="28"/>
          <w:szCs w:val="28"/>
        </w:rPr>
        <w:t>区</w:t>
      </w:r>
      <w:r>
        <w:rPr>
          <w:rFonts w:ascii="宋体" w:hAnsi="宋体"/>
          <w:color w:val="000000"/>
          <w:sz w:val="28"/>
          <w:szCs w:val="28"/>
        </w:rPr>
        <w:t>中小（幼）学、特（含成职）教的招生和学籍管理工作，组织高考、中考及自学考试工作。</w:t>
      </w:r>
    </w:p>
    <w:p>
      <w:pPr>
        <w:pStyle w:val="4"/>
        <w:shd w:val="clear" w:color="auto" w:fill="FFFFFF"/>
        <w:spacing w:before="0" w:beforeAutospacing="0" w:after="0" w:afterAutospacing="0"/>
        <w:ind w:firstLine="560" w:firstLineChars="200"/>
        <w:rPr>
          <w:rFonts w:hint="eastAsia" w:ascii="宋体" w:hAnsi="宋体"/>
          <w:color w:val="000000"/>
          <w:sz w:val="28"/>
          <w:szCs w:val="28"/>
        </w:rPr>
      </w:pPr>
      <w:r>
        <w:rPr>
          <w:rFonts w:ascii="宋体" w:hAnsi="宋体"/>
          <w:color w:val="000000"/>
          <w:sz w:val="28"/>
          <w:szCs w:val="28"/>
        </w:rPr>
        <w:t>9、规划、指导并推动教育系统的教育科研工作。</w:t>
      </w:r>
    </w:p>
    <w:p>
      <w:pPr>
        <w:pStyle w:val="4"/>
        <w:shd w:val="clear" w:color="auto" w:fill="FFFFFF"/>
        <w:spacing w:before="0" w:beforeAutospacing="0" w:after="0" w:afterAutospacing="0"/>
        <w:ind w:firstLine="560" w:firstLineChars="200"/>
        <w:rPr>
          <w:rFonts w:hint="eastAsia" w:ascii="宋体" w:hAnsi="宋体"/>
          <w:color w:val="000000"/>
          <w:sz w:val="28"/>
          <w:szCs w:val="28"/>
        </w:rPr>
      </w:pPr>
      <w:r>
        <w:rPr>
          <w:rFonts w:ascii="宋体" w:hAnsi="宋体"/>
          <w:color w:val="000000"/>
          <w:sz w:val="28"/>
          <w:szCs w:val="28"/>
        </w:rPr>
        <w:t>10、管理全</w:t>
      </w:r>
      <w:r>
        <w:rPr>
          <w:rFonts w:hint="eastAsia" w:ascii="宋体" w:hAnsi="宋体"/>
          <w:color w:val="000000"/>
          <w:sz w:val="28"/>
          <w:szCs w:val="28"/>
        </w:rPr>
        <w:t>区</w:t>
      </w:r>
      <w:r>
        <w:rPr>
          <w:rFonts w:ascii="宋体" w:hAnsi="宋体"/>
          <w:color w:val="000000"/>
          <w:sz w:val="28"/>
          <w:szCs w:val="28"/>
        </w:rPr>
        <w:t>体育工作，指导监督和配合全县各部门、行业、社会团体积极开展体育活动，推进体育社会化和全民健身活动的开展。</w:t>
      </w:r>
    </w:p>
    <w:p>
      <w:pPr>
        <w:pStyle w:val="4"/>
        <w:shd w:val="clear" w:color="auto" w:fill="FFFFFF"/>
        <w:spacing w:before="0" w:beforeAutospacing="0" w:after="0" w:afterAutospacing="0"/>
        <w:ind w:firstLine="560" w:firstLineChars="200"/>
        <w:rPr>
          <w:rFonts w:hint="eastAsia" w:ascii="宋体" w:hAnsi="宋体"/>
          <w:color w:val="000000"/>
          <w:sz w:val="28"/>
          <w:szCs w:val="28"/>
        </w:rPr>
      </w:pPr>
      <w:r>
        <w:rPr>
          <w:rFonts w:ascii="宋体" w:hAnsi="宋体"/>
          <w:color w:val="000000"/>
          <w:sz w:val="28"/>
          <w:szCs w:val="28"/>
        </w:rPr>
        <w:t>11、统一规划全</w:t>
      </w:r>
      <w:r>
        <w:rPr>
          <w:rFonts w:hint="eastAsia" w:ascii="宋体" w:hAnsi="宋体"/>
          <w:color w:val="000000"/>
          <w:sz w:val="28"/>
          <w:szCs w:val="28"/>
        </w:rPr>
        <w:t>区</w:t>
      </w:r>
      <w:r>
        <w:rPr>
          <w:rFonts w:ascii="宋体" w:hAnsi="宋体"/>
          <w:color w:val="000000"/>
          <w:sz w:val="28"/>
          <w:szCs w:val="28"/>
        </w:rPr>
        <w:t>运动项目的布局，指导优秀运动队伍的建设和业余训练工作。</w:t>
      </w:r>
    </w:p>
    <w:p>
      <w:pPr>
        <w:pStyle w:val="4"/>
        <w:shd w:val="clear" w:color="auto" w:fill="FFFFFF"/>
        <w:spacing w:before="0" w:beforeAutospacing="0" w:after="0" w:afterAutospacing="0"/>
        <w:ind w:firstLine="560" w:firstLineChars="200"/>
        <w:rPr>
          <w:rFonts w:hint="eastAsia" w:ascii="宋体" w:hAnsi="宋体"/>
          <w:color w:val="000000"/>
          <w:sz w:val="28"/>
          <w:szCs w:val="28"/>
        </w:rPr>
      </w:pPr>
      <w:r>
        <w:rPr>
          <w:rFonts w:ascii="宋体" w:hAnsi="宋体"/>
          <w:color w:val="000000"/>
          <w:sz w:val="28"/>
          <w:szCs w:val="28"/>
        </w:rPr>
        <w:t>1</w:t>
      </w:r>
      <w:r>
        <w:rPr>
          <w:rFonts w:hint="eastAsia" w:ascii="宋体" w:hAnsi="宋体"/>
          <w:color w:val="000000"/>
          <w:sz w:val="28"/>
          <w:szCs w:val="28"/>
        </w:rPr>
        <w:t>2</w:t>
      </w:r>
      <w:r>
        <w:rPr>
          <w:rFonts w:ascii="宋体" w:hAnsi="宋体"/>
          <w:color w:val="000000"/>
          <w:sz w:val="28"/>
          <w:szCs w:val="28"/>
        </w:rPr>
        <w:t>、承办</w:t>
      </w:r>
      <w:r>
        <w:rPr>
          <w:rFonts w:hint="eastAsia" w:ascii="宋体" w:hAnsi="宋体"/>
          <w:color w:val="000000"/>
          <w:sz w:val="28"/>
          <w:szCs w:val="28"/>
        </w:rPr>
        <w:t>区</w:t>
      </w:r>
      <w:r>
        <w:rPr>
          <w:rFonts w:ascii="宋体" w:hAnsi="宋体"/>
          <w:color w:val="000000"/>
          <w:sz w:val="28"/>
          <w:szCs w:val="28"/>
        </w:rPr>
        <w:t>委、</w:t>
      </w:r>
      <w:r>
        <w:rPr>
          <w:rFonts w:hint="eastAsia" w:ascii="宋体" w:hAnsi="宋体"/>
          <w:color w:val="000000"/>
          <w:sz w:val="28"/>
          <w:szCs w:val="28"/>
        </w:rPr>
        <w:t>区</w:t>
      </w:r>
      <w:r>
        <w:rPr>
          <w:rFonts w:ascii="宋体" w:hAnsi="宋体"/>
          <w:color w:val="000000"/>
          <w:sz w:val="28"/>
          <w:szCs w:val="28"/>
        </w:rPr>
        <w:t>政府交办的其他事项。</w:t>
      </w:r>
    </w:p>
    <w:p>
      <w:pPr>
        <w:ind w:firstLine="643" w:firstLineChars="200"/>
        <w:jc w:val="left"/>
        <w:rPr>
          <w:rFonts w:ascii="楷体" w:hAnsi="楷体" w:eastAsia="楷体" w:cs="Times New Roman"/>
          <w:b/>
          <w:sz w:val="32"/>
          <w:szCs w:val="32"/>
        </w:rPr>
      </w:pPr>
      <w:r>
        <w:rPr>
          <w:rFonts w:hint="eastAsia" w:ascii="楷体" w:hAnsi="楷体" w:eastAsia="楷体" w:cs="Times New Roman"/>
          <w:b/>
          <w:sz w:val="32"/>
          <w:szCs w:val="32"/>
        </w:rPr>
        <w:t>二、部门</w:t>
      </w:r>
      <w:r>
        <w:rPr>
          <w:rFonts w:hint="eastAsia" w:ascii="楷体" w:hAnsi="楷体" w:eastAsia="楷体"/>
          <w:b/>
          <w:sz w:val="32"/>
          <w:szCs w:val="32"/>
        </w:rPr>
        <w:t>基本情况</w:t>
      </w:r>
    </w:p>
    <w:p>
      <w:pPr>
        <w:ind w:firstLine="630"/>
        <w:jc w:val="left"/>
        <w:rPr>
          <w:rFonts w:ascii="宋体" w:hAnsi="宋体" w:eastAsia="宋体" w:cs="Times New Roman"/>
          <w:sz w:val="28"/>
          <w:szCs w:val="28"/>
          <w:highlight w:val="none"/>
        </w:rPr>
      </w:pPr>
      <w:r>
        <w:rPr>
          <w:rFonts w:hint="eastAsia" w:ascii="宋体" w:hAnsi="宋体" w:eastAsia="宋体"/>
          <w:sz w:val="28"/>
          <w:szCs w:val="28"/>
          <w:highlight w:val="none"/>
        </w:rPr>
        <w:t>广丰区教育系统下辖</w:t>
      </w:r>
      <w:r>
        <w:rPr>
          <w:rFonts w:hint="eastAsia" w:ascii="宋体" w:hAnsi="宋体" w:eastAsia="宋体"/>
          <w:sz w:val="28"/>
          <w:szCs w:val="28"/>
          <w:highlight w:val="none"/>
          <w:lang w:val="en-US" w:eastAsia="zh-CN"/>
        </w:rPr>
        <w:t>81</w:t>
      </w:r>
      <w:r>
        <w:rPr>
          <w:rFonts w:hint="eastAsia" w:ascii="宋体" w:hAnsi="宋体" w:eastAsia="宋体"/>
          <w:sz w:val="28"/>
          <w:szCs w:val="28"/>
          <w:highlight w:val="none"/>
        </w:rPr>
        <w:t>个独立核算单位，在职人数</w:t>
      </w:r>
      <w:r>
        <w:rPr>
          <w:rFonts w:hint="eastAsia" w:ascii="宋体" w:hAnsi="宋体" w:eastAsia="宋体"/>
          <w:sz w:val="28"/>
          <w:szCs w:val="28"/>
          <w:highlight w:val="none"/>
          <w:lang w:val="en-US" w:eastAsia="zh-CN"/>
        </w:rPr>
        <w:t>6946</w:t>
      </w:r>
      <w:r>
        <w:rPr>
          <w:rFonts w:hint="eastAsia" w:ascii="宋体" w:hAnsi="宋体" w:eastAsia="宋体"/>
          <w:sz w:val="28"/>
          <w:szCs w:val="28"/>
          <w:highlight w:val="none"/>
        </w:rPr>
        <w:t>人，离休人员</w:t>
      </w:r>
      <w:r>
        <w:rPr>
          <w:rFonts w:hint="eastAsia" w:ascii="宋体" w:hAnsi="宋体" w:eastAsia="宋体"/>
          <w:sz w:val="28"/>
          <w:szCs w:val="28"/>
          <w:highlight w:val="none"/>
          <w:lang w:val="en-US" w:eastAsia="zh-CN"/>
        </w:rPr>
        <w:t>4</w:t>
      </w:r>
      <w:r>
        <w:rPr>
          <w:rFonts w:hint="eastAsia" w:ascii="宋体" w:hAnsi="宋体" w:eastAsia="宋体"/>
          <w:sz w:val="28"/>
          <w:szCs w:val="28"/>
          <w:highlight w:val="none"/>
        </w:rPr>
        <w:t>人，民师退养</w:t>
      </w:r>
      <w:r>
        <w:rPr>
          <w:rFonts w:hint="eastAsia" w:ascii="宋体" w:hAnsi="宋体" w:eastAsia="宋体"/>
          <w:sz w:val="28"/>
          <w:szCs w:val="28"/>
          <w:highlight w:val="none"/>
          <w:lang w:val="en-US" w:eastAsia="zh-CN"/>
        </w:rPr>
        <w:t>61</w:t>
      </w:r>
      <w:r>
        <w:rPr>
          <w:rFonts w:hint="eastAsia" w:ascii="宋体" w:hAnsi="宋体" w:eastAsia="宋体"/>
          <w:sz w:val="28"/>
          <w:szCs w:val="28"/>
          <w:highlight w:val="none"/>
        </w:rPr>
        <w:t>人，遗属补助</w:t>
      </w:r>
      <w:r>
        <w:rPr>
          <w:rFonts w:hint="eastAsia" w:ascii="宋体" w:hAnsi="宋体" w:eastAsia="宋体"/>
          <w:sz w:val="28"/>
          <w:szCs w:val="28"/>
          <w:highlight w:val="none"/>
          <w:lang w:val="en-US" w:eastAsia="zh-CN"/>
        </w:rPr>
        <w:t>342</w:t>
      </w:r>
      <w:r>
        <w:rPr>
          <w:rFonts w:hint="eastAsia" w:ascii="宋体" w:hAnsi="宋体" w:eastAsia="宋体"/>
          <w:sz w:val="28"/>
          <w:szCs w:val="28"/>
          <w:highlight w:val="none"/>
        </w:rPr>
        <w:t>人，在校学生数</w:t>
      </w:r>
      <w:r>
        <w:rPr>
          <w:rFonts w:hint="eastAsia" w:ascii="宋体" w:hAnsi="宋体" w:eastAsia="宋体"/>
          <w:sz w:val="28"/>
          <w:szCs w:val="28"/>
          <w:highlight w:val="none"/>
          <w:lang w:val="en-US" w:eastAsia="zh-CN"/>
        </w:rPr>
        <w:t>110228</w:t>
      </w:r>
      <w:r>
        <w:rPr>
          <w:rFonts w:hint="eastAsia" w:ascii="宋体" w:hAnsi="宋体" w:eastAsia="宋体"/>
          <w:sz w:val="28"/>
          <w:szCs w:val="28"/>
          <w:highlight w:val="none"/>
        </w:rPr>
        <w:t>人（不含民办学校生数）。</w:t>
      </w:r>
    </w:p>
    <w:p>
      <w:pPr>
        <w:ind w:firstLine="660"/>
        <w:rPr>
          <w:rFonts w:ascii="黑体" w:hAnsi="黑体" w:eastAsia="黑体"/>
          <w:b/>
          <w:sz w:val="32"/>
          <w:szCs w:val="32"/>
        </w:rPr>
      </w:pPr>
      <w:r>
        <w:rPr>
          <w:rFonts w:hint="eastAsia" w:ascii="黑体" w:hAnsi="黑体" w:eastAsia="黑体"/>
          <w:b/>
          <w:sz w:val="32"/>
          <w:szCs w:val="32"/>
        </w:rPr>
        <w:t>第二部分  上饶市广丰区教育部门202</w:t>
      </w:r>
      <w:r>
        <w:rPr>
          <w:rFonts w:hint="eastAsia" w:ascii="黑体" w:hAnsi="黑体" w:eastAsia="黑体"/>
          <w:b/>
          <w:sz w:val="32"/>
          <w:szCs w:val="32"/>
          <w:lang w:val="en-US" w:eastAsia="zh-CN"/>
        </w:rPr>
        <w:t>2</w:t>
      </w:r>
      <w:r>
        <w:rPr>
          <w:rFonts w:hint="eastAsia" w:ascii="黑体" w:hAnsi="黑体" w:eastAsia="黑体"/>
          <w:b/>
          <w:sz w:val="32"/>
          <w:szCs w:val="32"/>
        </w:rPr>
        <w:t>年部门预算情况说明</w:t>
      </w:r>
    </w:p>
    <w:p>
      <w:pPr>
        <w:ind w:firstLine="660"/>
        <w:rPr>
          <w:rFonts w:ascii="楷体" w:hAnsi="楷体" w:eastAsia="楷体"/>
          <w:b/>
          <w:sz w:val="32"/>
          <w:szCs w:val="32"/>
        </w:rPr>
      </w:pPr>
      <w:r>
        <w:rPr>
          <w:rFonts w:hint="eastAsia" w:ascii="楷体" w:hAnsi="楷体" w:eastAsia="楷体"/>
          <w:b/>
          <w:sz w:val="32"/>
          <w:szCs w:val="32"/>
        </w:rPr>
        <w:t>一、202</w:t>
      </w:r>
      <w:r>
        <w:rPr>
          <w:rFonts w:hint="eastAsia" w:ascii="楷体" w:hAnsi="楷体" w:eastAsia="楷体"/>
          <w:b/>
          <w:sz w:val="32"/>
          <w:szCs w:val="32"/>
          <w:lang w:val="en-US" w:eastAsia="zh-CN"/>
        </w:rPr>
        <w:t>2</w:t>
      </w:r>
      <w:r>
        <w:rPr>
          <w:rFonts w:hint="eastAsia" w:ascii="楷体" w:hAnsi="楷体" w:eastAsia="楷体"/>
          <w:b/>
          <w:sz w:val="32"/>
          <w:szCs w:val="32"/>
        </w:rPr>
        <w:t>年部门预算收支情况说明</w:t>
      </w:r>
    </w:p>
    <w:p>
      <w:pPr>
        <w:ind w:firstLine="660"/>
        <w:rPr>
          <w:sz w:val="28"/>
          <w:szCs w:val="28"/>
        </w:rPr>
      </w:pPr>
      <w:r>
        <w:rPr>
          <w:rFonts w:hint="eastAsia"/>
          <w:sz w:val="28"/>
          <w:szCs w:val="28"/>
        </w:rPr>
        <w:t>（一）收入预算情况</w:t>
      </w:r>
    </w:p>
    <w:p>
      <w:pPr>
        <w:ind w:firstLine="660"/>
        <w:rPr>
          <w:rFonts w:hint="default"/>
          <w:color w:val="auto"/>
          <w:sz w:val="28"/>
          <w:szCs w:val="28"/>
          <w:lang w:val="en-US" w:eastAsia="zh-CN"/>
        </w:rPr>
      </w:pPr>
      <w:r>
        <w:rPr>
          <w:rFonts w:hint="eastAsia"/>
          <w:color w:val="auto"/>
          <w:sz w:val="28"/>
          <w:szCs w:val="28"/>
        </w:rPr>
        <w:t>全区教育系统本年</w:t>
      </w:r>
      <w:r>
        <w:rPr>
          <w:rFonts w:hint="eastAsia"/>
          <w:color w:val="auto"/>
          <w:sz w:val="28"/>
          <w:szCs w:val="28"/>
          <w:lang w:eastAsia="zh-CN"/>
        </w:rPr>
        <w:t>预算</w:t>
      </w:r>
      <w:r>
        <w:rPr>
          <w:rFonts w:hint="eastAsia"/>
          <w:color w:val="auto"/>
          <w:sz w:val="28"/>
          <w:szCs w:val="28"/>
        </w:rPr>
        <w:t>收入总计</w:t>
      </w:r>
      <w:r>
        <w:rPr>
          <w:rFonts w:hint="eastAsia"/>
          <w:color w:val="auto"/>
          <w:sz w:val="28"/>
          <w:szCs w:val="28"/>
          <w:lang w:val="en-US" w:eastAsia="zh-CN"/>
        </w:rPr>
        <w:t>84533.48</w:t>
      </w:r>
      <w:r>
        <w:rPr>
          <w:rFonts w:hint="eastAsia"/>
          <w:color w:val="auto"/>
          <w:sz w:val="28"/>
          <w:szCs w:val="28"/>
        </w:rPr>
        <w:t>万元，其中：财政拨款收入</w:t>
      </w:r>
      <w:r>
        <w:rPr>
          <w:rFonts w:hint="eastAsia"/>
          <w:color w:val="auto"/>
          <w:sz w:val="28"/>
          <w:szCs w:val="28"/>
          <w:lang w:val="en-US" w:eastAsia="zh-CN"/>
        </w:rPr>
        <w:t>74237.10</w:t>
      </w:r>
      <w:r>
        <w:rPr>
          <w:rFonts w:hint="eastAsia"/>
          <w:color w:val="auto"/>
          <w:sz w:val="28"/>
          <w:szCs w:val="28"/>
        </w:rPr>
        <w:t>万元，</w:t>
      </w:r>
      <w:r>
        <w:rPr>
          <w:rFonts w:hint="eastAsia"/>
          <w:color w:val="auto"/>
          <w:sz w:val="28"/>
          <w:szCs w:val="28"/>
          <w:lang w:eastAsia="zh-CN"/>
        </w:rPr>
        <w:t>较上年减少</w:t>
      </w:r>
      <w:r>
        <w:rPr>
          <w:rFonts w:hint="eastAsia"/>
          <w:color w:val="auto"/>
          <w:sz w:val="28"/>
          <w:szCs w:val="28"/>
          <w:lang w:val="en-US" w:eastAsia="zh-CN"/>
        </w:rPr>
        <w:t>2.9%，原因为预算一体化口径变化：新入编教师因工资关系未明确未列入年初预算。</w:t>
      </w:r>
      <w:r>
        <w:rPr>
          <w:rFonts w:hint="eastAsia"/>
          <w:color w:val="auto"/>
          <w:sz w:val="28"/>
          <w:szCs w:val="28"/>
          <w:lang w:eastAsia="zh-CN"/>
        </w:rPr>
        <w:t>教育收费资金收入</w:t>
      </w:r>
      <w:r>
        <w:rPr>
          <w:rFonts w:hint="eastAsia"/>
          <w:color w:val="auto"/>
          <w:sz w:val="28"/>
          <w:szCs w:val="28"/>
          <w:lang w:val="en-US" w:eastAsia="zh-CN"/>
        </w:rPr>
        <w:t>196.68</w:t>
      </w:r>
      <w:r>
        <w:rPr>
          <w:rFonts w:hint="eastAsia"/>
          <w:color w:val="auto"/>
          <w:sz w:val="28"/>
          <w:szCs w:val="28"/>
          <w:lang w:eastAsia="zh-CN"/>
        </w:rPr>
        <w:t>万元，</w:t>
      </w:r>
      <w:r>
        <w:rPr>
          <w:rFonts w:hint="eastAsia"/>
          <w:color w:val="auto"/>
          <w:sz w:val="28"/>
          <w:szCs w:val="28"/>
        </w:rPr>
        <w:t>事业收入</w:t>
      </w:r>
      <w:r>
        <w:rPr>
          <w:rFonts w:hint="eastAsia"/>
          <w:color w:val="auto"/>
          <w:sz w:val="28"/>
          <w:szCs w:val="28"/>
          <w:highlight w:val="none"/>
          <w:lang w:val="en-US" w:eastAsia="zh-CN"/>
        </w:rPr>
        <w:t>1466.85</w:t>
      </w:r>
      <w:r>
        <w:rPr>
          <w:rFonts w:hint="eastAsia"/>
          <w:color w:val="auto"/>
          <w:sz w:val="28"/>
          <w:szCs w:val="28"/>
        </w:rPr>
        <w:t>万元，上级补助收入</w:t>
      </w:r>
      <w:r>
        <w:rPr>
          <w:rFonts w:hint="eastAsia"/>
          <w:color w:val="auto"/>
          <w:sz w:val="28"/>
          <w:szCs w:val="28"/>
          <w:lang w:val="en-US" w:eastAsia="zh-CN"/>
        </w:rPr>
        <w:t>1251.24</w:t>
      </w:r>
      <w:r>
        <w:rPr>
          <w:rFonts w:hint="eastAsia"/>
          <w:color w:val="auto"/>
          <w:sz w:val="28"/>
          <w:szCs w:val="28"/>
        </w:rPr>
        <w:t>万元，上年结转</w:t>
      </w:r>
      <w:r>
        <w:rPr>
          <w:rFonts w:hint="eastAsia"/>
          <w:color w:val="auto"/>
          <w:sz w:val="28"/>
          <w:szCs w:val="28"/>
          <w:lang w:val="en-US" w:eastAsia="zh-CN"/>
        </w:rPr>
        <w:t>7381.61</w:t>
      </w:r>
      <w:r>
        <w:rPr>
          <w:rFonts w:hint="eastAsia"/>
          <w:color w:val="auto"/>
          <w:sz w:val="28"/>
          <w:szCs w:val="28"/>
        </w:rPr>
        <w:t>万元。</w:t>
      </w:r>
      <w:r>
        <w:rPr>
          <w:rFonts w:hint="eastAsia"/>
          <w:color w:val="auto"/>
          <w:sz w:val="28"/>
          <w:szCs w:val="28"/>
          <w:lang w:eastAsia="zh-CN"/>
        </w:rPr>
        <w:t>【说明：按财政局要求本年度所有外单位（含上级主管单位）拨入、单位自收自支、个人</w:t>
      </w:r>
      <w:r>
        <w:rPr>
          <w:rFonts w:hint="eastAsia"/>
          <w:color w:val="auto"/>
          <w:sz w:val="28"/>
          <w:szCs w:val="28"/>
          <w:lang w:val="en-US" w:eastAsia="zh-CN"/>
        </w:rPr>
        <w:t>(企业）捐赠</w:t>
      </w:r>
      <w:r>
        <w:rPr>
          <w:rFonts w:hint="eastAsia"/>
          <w:color w:val="auto"/>
          <w:sz w:val="28"/>
          <w:szCs w:val="28"/>
          <w:lang w:eastAsia="zh-CN"/>
        </w:rPr>
        <w:t>等代管性质的资金必须纳入年初预算。因无法预测金额、拨入股室，在预算一体化系统中</w:t>
      </w:r>
      <w:r>
        <w:rPr>
          <w:rFonts w:hint="eastAsia"/>
          <w:color w:val="auto"/>
          <w:sz w:val="28"/>
          <w:szCs w:val="28"/>
          <w:lang w:val="en-US" w:eastAsia="zh-CN"/>
        </w:rPr>
        <w:t>建多个特定目标类项目库作临时拨款用库，资金归集到其他收入，全区81个单位累计158121.42万元。】</w:t>
      </w:r>
    </w:p>
    <w:p>
      <w:pPr>
        <w:ind w:firstLine="660"/>
        <w:rPr>
          <w:sz w:val="28"/>
          <w:szCs w:val="28"/>
        </w:rPr>
      </w:pPr>
      <w:r>
        <w:rPr>
          <w:rFonts w:hint="eastAsia"/>
          <w:sz w:val="28"/>
          <w:szCs w:val="28"/>
        </w:rPr>
        <w:t>（二）支出预算情况</w:t>
      </w:r>
    </w:p>
    <w:p>
      <w:pPr>
        <w:ind w:firstLine="660"/>
        <w:rPr>
          <w:sz w:val="28"/>
          <w:szCs w:val="28"/>
        </w:rPr>
      </w:pPr>
      <w:r>
        <w:rPr>
          <w:rFonts w:hint="eastAsia"/>
          <w:sz w:val="28"/>
          <w:szCs w:val="28"/>
        </w:rPr>
        <w:t>202</w:t>
      </w:r>
      <w:r>
        <w:rPr>
          <w:rFonts w:hint="eastAsia"/>
          <w:sz w:val="28"/>
          <w:szCs w:val="28"/>
          <w:lang w:val="en-US" w:eastAsia="zh-CN"/>
        </w:rPr>
        <w:t>2</w:t>
      </w:r>
      <w:r>
        <w:rPr>
          <w:rFonts w:hint="eastAsia"/>
          <w:sz w:val="28"/>
          <w:szCs w:val="28"/>
        </w:rPr>
        <w:t>年教育支出合计：</w:t>
      </w:r>
      <w:r>
        <w:rPr>
          <w:rFonts w:hint="eastAsia"/>
          <w:sz w:val="28"/>
          <w:szCs w:val="28"/>
          <w:lang w:val="en-US" w:eastAsia="zh-CN"/>
        </w:rPr>
        <w:t>84533.48</w:t>
      </w:r>
      <w:r>
        <w:rPr>
          <w:rFonts w:hint="eastAsia"/>
          <w:sz w:val="28"/>
          <w:szCs w:val="28"/>
        </w:rPr>
        <w:t>万元，其中：基本支出</w:t>
      </w:r>
      <w:r>
        <w:rPr>
          <w:rFonts w:hint="eastAsia"/>
          <w:sz w:val="28"/>
          <w:szCs w:val="28"/>
          <w:lang w:val="en-US" w:eastAsia="zh-CN"/>
        </w:rPr>
        <w:t>81478.59</w:t>
      </w:r>
      <w:r>
        <w:rPr>
          <w:rFonts w:hint="eastAsia"/>
          <w:sz w:val="28"/>
          <w:szCs w:val="28"/>
        </w:rPr>
        <w:t>万元，项目支出</w:t>
      </w:r>
      <w:r>
        <w:rPr>
          <w:rFonts w:hint="eastAsia"/>
          <w:sz w:val="28"/>
          <w:szCs w:val="28"/>
          <w:lang w:val="en-US" w:eastAsia="zh-CN"/>
        </w:rPr>
        <w:t>3054.89</w:t>
      </w:r>
      <w:r>
        <w:rPr>
          <w:rFonts w:hint="eastAsia"/>
          <w:sz w:val="28"/>
          <w:szCs w:val="28"/>
        </w:rPr>
        <w:t>万元。</w:t>
      </w:r>
      <w:r>
        <w:rPr>
          <w:rFonts w:hint="eastAsia"/>
          <w:sz w:val="28"/>
          <w:szCs w:val="28"/>
          <w:lang w:eastAsia="zh-CN"/>
        </w:rPr>
        <w:t>总支出</w:t>
      </w:r>
      <w:r>
        <w:rPr>
          <w:rFonts w:hint="eastAsia"/>
          <w:sz w:val="28"/>
          <w:szCs w:val="28"/>
        </w:rPr>
        <w:t>较上年</w:t>
      </w:r>
      <w:r>
        <w:rPr>
          <w:rFonts w:hint="eastAsia"/>
          <w:sz w:val="28"/>
          <w:szCs w:val="28"/>
          <w:lang w:eastAsia="zh-CN"/>
        </w:rPr>
        <w:t>减少</w:t>
      </w:r>
      <w:r>
        <w:rPr>
          <w:rFonts w:hint="eastAsia"/>
          <w:sz w:val="28"/>
          <w:szCs w:val="28"/>
          <w:lang w:val="en-US" w:eastAsia="zh-CN"/>
        </w:rPr>
        <w:t>2.9</w:t>
      </w:r>
      <w:r>
        <w:rPr>
          <w:rFonts w:hint="eastAsia"/>
          <w:sz w:val="28"/>
          <w:szCs w:val="28"/>
        </w:rPr>
        <w:t>%。</w:t>
      </w:r>
      <w:r>
        <w:rPr>
          <w:rFonts w:hint="eastAsia"/>
          <w:sz w:val="28"/>
          <w:szCs w:val="28"/>
          <w:lang w:eastAsia="zh-CN"/>
        </w:rPr>
        <w:t>基本支出减少</w:t>
      </w:r>
      <w:r>
        <w:rPr>
          <w:rFonts w:hint="eastAsia"/>
          <w:color w:val="auto"/>
          <w:sz w:val="28"/>
          <w:szCs w:val="28"/>
          <w:lang w:val="en-US" w:eastAsia="zh-CN"/>
        </w:rPr>
        <w:t>原因为预算一体化口径变化：新入编教师因工资关系未明确未列入年初预算、项目支出增加原因为预算一体化口径变化。</w:t>
      </w:r>
    </w:p>
    <w:p>
      <w:pPr>
        <w:ind w:firstLine="660"/>
        <w:rPr>
          <w:sz w:val="28"/>
          <w:szCs w:val="28"/>
        </w:rPr>
      </w:pPr>
      <w:r>
        <w:rPr>
          <w:rFonts w:hint="eastAsia"/>
          <w:sz w:val="28"/>
          <w:szCs w:val="28"/>
        </w:rPr>
        <w:t>（三）财政拨款支出情况</w:t>
      </w:r>
    </w:p>
    <w:p>
      <w:pPr>
        <w:ind w:firstLine="660"/>
        <w:rPr>
          <w:rFonts w:hint="eastAsia"/>
          <w:color w:val="auto"/>
          <w:sz w:val="28"/>
          <w:szCs w:val="28"/>
          <w:lang w:val="en-US" w:eastAsia="zh-CN"/>
        </w:rPr>
      </w:pPr>
      <w:r>
        <w:rPr>
          <w:rFonts w:hint="eastAsia"/>
          <w:sz w:val="28"/>
          <w:szCs w:val="28"/>
        </w:rPr>
        <w:t>202</w:t>
      </w:r>
      <w:r>
        <w:rPr>
          <w:rFonts w:hint="eastAsia"/>
          <w:sz w:val="28"/>
          <w:szCs w:val="28"/>
          <w:lang w:val="en-US" w:eastAsia="zh-CN"/>
        </w:rPr>
        <w:t>2</w:t>
      </w:r>
      <w:r>
        <w:rPr>
          <w:rFonts w:hint="eastAsia"/>
          <w:sz w:val="28"/>
          <w:szCs w:val="28"/>
        </w:rPr>
        <w:t>年教育财政拨款支出</w:t>
      </w:r>
      <w:r>
        <w:rPr>
          <w:rFonts w:hint="eastAsia"/>
          <w:sz w:val="28"/>
          <w:szCs w:val="28"/>
          <w:lang w:val="en-US" w:eastAsia="zh-CN"/>
        </w:rPr>
        <w:t>74237.10</w:t>
      </w:r>
      <w:r>
        <w:rPr>
          <w:rFonts w:hint="eastAsia"/>
          <w:sz w:val="28"/>
          <w:szCs w:val="28"/>
        </w:rPr>
        <w:t>万元，其中基本支出</w:t>
      </w:r>
      <w:r>
        <w:rPr>
          <w:rFonts w:hint="eastAsia"/>
          <w:sz w:val="28"/>
          <w:szCs w:val="28"/>
          <w:lang w:val="en-US" w:eastAsia="zh-CN"/>
        </w:rPr>
        <w:t>73065.79</w:t>
      </w:r>
      <w:r>
        <w:rPr>
          <w:rFonts w:hint="eastAsia"/>
          <w:sz w:val="28"/>
          <w:szCs w:val="28"/>
        </w:rPr>
        <w:t>万元</w:t>
      </w:r>
      <w:r>
        <w:rPr>
          <w:rFonts w:hint="eastAsia"/>
          <w:sz w:val="28"/>
          <w:szCs w:val="28"/>
          <w:lang w:eastAsia="zh-CN"/>
        </w:rPr>
        <w:t>，项目支出</w:t>
      </w:r>
      <w:r>
        <w:rPr>
          <w:rFonts w:hint="eastAsia"/>
          <w:sz w:val="28"/>
          <w:szCs w:val="28"/>
          <w:lang w:val="en-US" w:eastAsia="zh-CN"/>
        </w:rPr>
        <w:t>1171.32</w:t>
      </w:r>
      <w:r>
        <w:rPr>
          <w:rFonts w:hint="eastAsia"/>
          <w:sz w:val="28"/>
          <w:szCs w:val="28"/>
        </w:rPr>
        <w:t>。较上年预算</w:t>
      </w:r>
      <w:r>
        <w:rPr>
          <w:rFonts w:hint="eastAsia"/>
          <w:sz w:val="28"/>
          <w:szCs w:val="28"/>
          <w:lang w:eastAsia="zh-CN"/>
        </w:rPr>
        <w:t>减少</w:t>
      </w:r>
      <w:r>
        <w:rPr>
          <w:rFonts w:hint="eastAsia"/>
          <w:sz w:val="28"/>
          <w:szCs w:val="28"/>
          <w:lang w:val="en-US" w:eastAsia="zh-CN"/>
        </w:rPr>
        <w:t>4.41</w:t>
      </w:r>
      <w:r>
        <w:rPr>
          <w:rFonts w:hint="eastAsia"/>
          <w:sz w:val="28"/>
          <w:szCs w:val="28"/>
        </w:rPr>
        <w:t>%，</w:t>
      </w:r>
      <w:r>
        <w:rPr>
          <w:rFonts w:hint="eastAsia"/>
          <w:color w:val="auto"/>
          <w:sz w:val="28"/>
          <w:szCs w:val="28"/>
          <w:lang w:val="en-US" w:eastAsia="zh-CN"/>
        </w:rPr>
        <w:t>原因为预算一体化口径变化：新入编教师因工资关系未明确未列入年初预算。</w:t>
      </w:r>
    </w:p>
    <w:p>
      <w:pPr>
        <w:ind w:firstLine="560" w:firstLineChars="200"/>
        <w:rPr>
          <w:sz w:val="28"/>
          <w:szCs w:val="28"/>
        </w:rPr>
      </w:pPr>
      <w:r>
        <w:rPr>
          <w:rFonts w:hint="eastAsia"/>
          <w:sz w:val="28"/>
          <w:szCs w:val="28"/>
        </w:rPr>
        <w:t>（四）政府性基金情况</w:t>
      </w:r>
    </w:p>
    <w:p>
      <w:pPr>
        <w:ind w:firstLine="660"/>
        <w:rPr>
          <w:rFonts w:hint="eastAsia"/>
          <w:sz w:val="28"/>
          <w:szCs w:val="28"/>
        </w:rPr>
      </w:pPr>
      <w:r>
        <w:rPr>
          <w:rFonts w:hint="eastAsia"/>
          <w:sz w:val="28"/>
          <w:szCs w:val="28"/>
        </w:rPr>
        <w:t>没有使用政府性预算拨款安排的支出。</w:t>
      </w:r>
    </w:p>
    <w:p>
      <w:pPr>
        <w:ind w:firstLine="660"/>
        <w:rPr>
          <w:sz w:val="28"/>
          <w:szCs w:val="28"/>
        </w:rPr>
      </w:pPr>
      <w:r>
        <w:rPr>
          <w:rFonts w:hint="eastAsia"/>
          <w:sz w:val="28"/>
          <w:szCs w:val="28"/>
        </w:rPr>
        <w:t>（五）机关运行经费等重要事项的说明</w:t>
      </w:r>
    </w:p>
    <w:p>
      <w:pPr>
        <w:ind w:firstLine="660"/>
        <w:rPr>
          <w:rFonts w:hint="eastAsia"/>
          <w:sz w:val="28"/>
          <w:szCs w:val="28"/>
        </w:rPr>
      </w:pPr>
      <w:r>
        <w:rPr>
          <w:rFonts w:hint="eastAsia"/>
          <w:sz w:val="28"/>
          <w:szCs w:val="28"/>
        </w:rPr>
        <w:t>202</w:t>
      </w:r>
      <w:r>
        <w:rPr>
          <w:rFonts w:hint="eastAsia"/>
          <w:sz w:val="28"/>
          <w:szCs w:val="28"/>
          <w:lang w:val="en-US" w:eastAsia="zh-CN"/>
        </w:rPr>
        <w:t>2</w:t>
      </w:r>
      <w:r>
        <w:rPr>
          <w:rFonts w:hint="eastAsia"/>
          <w:sz w:val="28"/>
          <w:szCs w:val="28"/>
        </w:rPr>
        <w:t>年部门公用经费总额</w:t>
      </w:r>
      <w:r>
        <w:rPr>
          <w:rFonts w:hint="eastAsia"/>
          <w:sz w:val="28"/>
          <w:szCs w:val="28"/>
          <w:lang w:val="en-US" w:eastAsia="zh-CN"/>
        </w:rPr>
        <w:t>6620.40</w:t>
      </w:r>
      <w:r>
        <w:rPr>
          <w:rFonts w:hint="eastAsia"/>
          <w:sz w:val="28"/>
          <w:szCs w:val="28"/>
        </w:rPr>
        <w:t>万元，其中办公费</w:t>
      </w:r>
      <w:r>
        <w:rPr>
          <w:rFonts w:hint="eastAsia"/>
          <w:sz w:val="28"/>
          <w:szCs w:val="28"/>
          <w:lang w:val="en-US" w:eastAsia="zh-CN"/>
        </w:rPr>
        <w:t>679.98</w:t>
      </w:r>
      <w:r>
        <w:rPr>
          <w:rFonts w:hint="eastAsia"/>
          <w:sz w:val="28"/>
          <w:szCs w:val="28"/>
        </w:rPr>
        <w:t>万元、水电费</w:t>
      </w:r>
      <w:r>
        <w:rPr>
          <w:rFonts w:hint="eastAsia"/>
          <w:sz w:val="28"/>
          <w:szCs w:val="28"/>
          <w:lang w:val="en-US" w:eastAsia="zh-CN"/>
        </w:rPr>
        <w:t>327.70</w:t>
      </w:r>
      <w:r>
        <w:rPr>
          <w:rFonts w:hint="eastAsia"/>
          <w:sz w:val="28"/>
          <w:szCs w:val="28"/>
        </w:rPr>
        <w:t>万元、</w:t>
      </w:r>
      <w:r>
        <w:rPr>
          <w:rFonts w:hint="eastAsia"/>
          <w:sz w:val="28"/>
          <w:szCs w:val="28"/>
          <w:lang w:eastAsia="zh-CN"/>
        </w:rPr>
        <w:t>咨询费</w:t>
      </w:r>
      <w:r>
        <w:rPr>
          <w:rFonts w:hint="eastAsia"/>
          <w:sz w:val="28"/>
          <w:szCs w:val="28"/>
          <w:lang w:val="en-US" w:eastAsia="zh-CN"/>
        </w:rPr>
        <w:t>4.08万元、手续费2.35万元、</w:t>
      </w:r>
      <w:r>
        <w:rPr>
          <w:rFonts w:hint="eastAsia"/>
          <w:sz w:val="28"/>
          <w:szCs w:val="28"/>
        </w:rPr>
        <w:t>邮电费</w:t>
      </w:r>
      <w:r>
        <w:rPr>
          <w:rFonts w:hint="eastAsia"/>
          <w:sz w:val="28"/>
          <w:szCs w:val="28"/>
          <w:lang w:val="en-US" w:eastAsia="zh-CN"/>
        </w:rPr>
        <w:t>23.02</w:t>
      </w:r>
      <w:r>
        <w:rPr>
          <w:rFonts w:hint="eastAsia"/>
          <w:sz w:val="28"/>
          <w:szCs w:val="28"/>
        </w:rPr>
        <w:t>万元、差旅费</w:t>
      </w:r>
      <w:r>
        <w:rPr>
          <w:rFonts w:hint="eastAsia"/>
          <w:sz w:val="28"/>
          <w:szCs w:val="28"/>
          <w:lang w:val="en-US" w:eastAsia="zh-CN"/>
        </w:rPr>
        <w:t>93.5</w:t>
      </w:r>
      <w:r>
        <w:rPr>
          <w:rFonts w:hint="eastAsia"/>
          <w:sz w:val="28"/>
          <w:szCs w:val="28"/>
        </w:rPr>
        <w:t>万元、</w:t>
      </w:r>
      <w:r>
        <w:rPr>
          <w:rFonts w:hint="eastAsia"/>
          <w:sz w:val="28"/>
          <w:szCs w:val="28"/>
          <w:lang w:eastAsia="zh-CN"/>
        </w:rPr>
        <w:t>物业管理费</w:t>
      </w:r>
      <w:r>
        <w:rPr>
          <w:rFonts w:hint="eastAsia"/>
          <w:sz w:val="28"/>
          <w:szCs w:val="28"/>
          <w:lang w:val="en-US" w:eastAsia="zh-CN"/>
        </w:rPr>
        <w:t>425.22万元、</w:t>
      </w:r>
      <w:r>
        <w:rPr>
          <w:rFonts w:hint="eastAsia"/>
          <w:sz w:val="28"/>
          <w:szCs w:val="28"/>
        </w:rPr>
        <w:t>维修（护）费</w:t>
      </w:r>
      <w:r>
        <w:rPr>
          <w:rFonts w:hint="eastAsia"/>
          <w:sz w:val="28"/>
          <w:szCs w:val="28"/>
          <w:lang w:val="en-US" w:eastAsia="zh-CN"/>
        </w:rPr>
        <w:t>722.64</w:t>
      </w:r>
      <w:r>
        <w:rPr>
          <w:rFonts w:hint="eastAsia"/>
          <w:sz w:val="28"/>
          <w:szCs w:val="28"/>
        </w:rPr>
        <w:t>万元、会议费</w:t>
      </w:r>
      <w:r>
        <w:rPr>
          <w:rFonts w:hint="eastAsia"/>
          <w:sz w:val="28"/>
          <w:szCs w:val="28"/>
          <w:lang w:val="en-US" w:eastAsia="zh-CN"/>
        </w:rPr>
        <w:t>74.85</w:t>
      </w:r>
      <w:r>
        <w:rPr>
          <w:rFonts w:hint="eastAsia"/>
          <w:sz w:val="28"/>
          <w:szCs w:val="28"/>
        </w:rPr>
        <w:t>万元、公务接待费</w:t>
      </w:r>
      <w:r>
        <w:rPr>
          <w:rFonts w:hint="eastAsia"/>
          <w:sz w:val="28"/>
          <w:szCs w:val="28"/>
          <w:lang w:val="en-US" w:eastAsia="zh-CN"/>
        </w:rPr>
        <w:t>112.19</w:t>
      </w:r>
      <w:r>
        <w:rPr>
          <w:rFonts w:hint="eastAsia"/>
          <w:sz w:val="28"/>
          <w:szCs w:val="28"/>
        </w:rPr>
        <w:t>万元、培训费</w:t>
      </w:r>
      <w:r>
        <w:rPr>
          <w:rFonts w:hint="eastAsia"/>
          <w:sz w:val="28"/>
          <w:szCs w:val="28"/>
          <w:lang w:val="en-US" w:eastAsia="zh-CN"/>
        </w:rPr>
        <w:t>446.96</w:t>
      </w:r>
      <w:r>
        <w:rPr>
          <w:rFonts w:hint="eastAsia"/>
          <w:sz w:val="28"/>
          <w:szCs w:val="28"/>
        </w:rPr>
        <w:t>万元。本年度公用支出较上年有小幅度的</w:t>
      </w:r>
      <w:r>
        <w:rPr>
          <w:rFonts w:hint="eastAsia"/>
          <w:sz w:val="28"/>
          <w:szCs w:val="28"/>
          <w:lang w:eastAsia="zh-CN"/>
        </w:rPr>
        <w:t>减少</w:t>
      </w:r>
      <w:r>
        <w:rPr>
          <w:rFonts w:hint="eastAsia"/>
          <w:sz w:val="28"/>
          <w:szCs w:val="28"/>
        </w:rPr>
        <w:t>，</w:t>
      </w:r>
      <w:r>
        <w:rPr>
          <w:rFonts w:hint="eastAsia"/>
          <w:sz w:val="28"/>
          <w:szCs w:val="28"/>
          <w:lang w:eastAsia="zh-CN"/>
        </w:rPr>
        <w:t>原因为本年度学生数总体减少、按财政要求压缩一般性支出</w:t>
      </w:r>
      <w:r>
        <w:rPr>
          <w:rFonts w:hint="eastAsia"/>
          <w:sz w:val="28"/>
          <w:szCs w:val="28"/>
        </w:rPr>
        <w:t>。</w:t>
      </w:r>
    </w:p>
    <w:p>
      <w:pPr>
        <w:numPr>
          <w:ilvl w:val="0"/>
          <w:numId w:val="1"/>
        </w:numPr>
        <w:ind w:firstLine="660"/>
        <w:rPr>
          <w:rFonts w:hint="eastAsia"/>
          <w:sz w:val="28"/>
          <w:szCs w:val="28"/>
          <w:lang w:eastAsia="zh-CN"/>
        </w:rPr>
      </w:pPr>
      <w:r>
        <w:rPr>
          <w:rFonts w:hint="eastAsia"/>
          <w:sz w:val="28"/>
          <w:szCs w:val="28"/>
          <w:lang w:eastAsia="zh-CN"/>
        </w:rPr>
        <w:t>政府采购情况</w:t>
      </w:r>
    </w:p>
    <w:p>
      <w:pPr>
        <w:numPr>
          <w:ilvl w:val="0"/>
          <w:numId w:val="1"/>
        </w:numPr>
        <w:ind w:firstLine="660"/>
        <w:rPr>
          <w:rFonts w:hint="eastAsia"/>
          <w:sz w:val="28"/>
          <w:szCs w:val="28"/>
          <w:lang w:eastAsia="zh-CN"/>
        </w:rPr>
      </w:pPr>
      <w:r>
        <w:rPr>
          <w:rFonts w:hint="eastAsia"/>
          <w:sz w:val="28"/>
          <w:szCs w:val="28"/>
          <w:lang w:val="en-US" w:eastAsia="zh-CN"/>
        </w:rPr>
        <w:t>2022年政府采购总额为2780.98万元，较上年增加239.16%，根据预算一体化口径及部分学校的教学设备陈旧需更新的实际，本年度加大采购力度。</w:t>
      </w:r>
    </w:p>
    <w:p>
      <w:pPr>
        <w:ind w:firstLine="660"/>
        <w:rPr>
          <w:rFonts w:ascii="楷体" w:hAnsi="楷体" w:eastAsia="楷体"/>
          <w:b/>
          <w:sz w:val="32"/>
          <w:szCs w:val="32"/>
        </w:rPr>
      </w:pPr>
      <w:r>
        <w:rPr>
          <w:rFonts w:hint="eastAsia" w:ascii="楷体" w:hAnsi="楷体" w:eastAsia="楷体"/>
          <w:b/>
          <w:sz w:val="32"/>
          <w:szCs w:val="32"/>
        </w:rPr>
        <w:t>二、202</w:t>
      </w:r>
      <w:r>
        <w:rPr>
          <w:rFonts w:hint="eastAsia" w:ascii="楷体" w:hAnsi="楷体" w:eastAsia="楷体"/>
          <w:b/>
          <w:sz w:val="32"/>
          <w:szCs w:val="32"/>
          <w:lang w:val="en-US" w:eastAsia="zh-CN"/>
        </w:rPr>
        <w:t>2</w:t>
      </w:r>
      <w:r>
        <w:rPr>
          <w:rFonts w:hint="eastAsia" w:ascii="楷体" w:hAnsi="楷体" w:eastAsia="楷体"/>
          <w:b/>
          <w:sz w:val="32"/>
          <w:szCs w:val="32"/>
        </w:rPr>
        <w:t>年“三公”经费预算情况说明</w:t>
      </w:r>
    </w:p>
    <w:p>
      <w:pPr>
        <w:ind w:firstLine="660"/>
        <w:rPr>
          <w:rFonts w:hint="eastAsia" w:ascii="仿宋_GB2312" w:eastAsia="仿宋_GB2312"/>
          <w:sz w:val="32"/>
          <w:szCs w:val="30"/>
        </w:rPr>
      </w:pPr>
      <w:r>
        <w:rPr>
          <w:rFonts w:hint="eastAsia"/>
          <w:sz w:val="28"/>
          <w:szCs w:val="28"/>
        </w:rPr>
        <w:t>202</w:t>
      </w:r>
      <w:r>
        <w:rPr>
          <w:rFonts w:hint="eastAsia"/>
          <w:sz w:val="28"/>
          <w:szCs w:val="28"/>
          <w:lang w:val="en-US" w:eastAsia="zh-CN"/>
        </w:rPr>
        <w:t>2</w:t>
      </w:r>
      <w:r>
        <w:rPr>
          <w:rFonts w:hint="eastAsia"/>
          <w:sz w:val="28"/>
          <w:szCs w:val="28"/>
        </w:rPr>
        <w:t>年上饶市广丰区教育部门“三公”经费年初安排</w:t>
      </w:r>
      <w:r>
        <w:rPr>
          <w:rFonts w:hint="eastAsia"/>
          <w:sz w:val="28"/>
          <w:szCs w:val="28"/>
          <w:lang w:val="en-US" w:eastAsia="zh-CN"/>
        </w:rPr>
        <w:t>112.19</w:t>
      </w:r>
      <w:r>
        <w:rPr>
          <w:rFonts w:hint="eastAsia"/>
          <w:sz w:val="28"/>
          <w:szCs w:val="28"/>
        </w:rPr>
        <w:t>万元，较上年减少</w:t>
      </w:r>
      <w:r>
        <w:rPr>
          <w:rFonts w:hint="eastAsia"/>
          <w:sz w:val="28"/>
          <w:szCs w:val="28"/>
          <w:highlight w:val="none"/>
          <w:lang w:val="en-US" w:eastAsia="zh-CN"/>
        </w:rPr>
        <w:t>17.51</w:t>
      </w:r>
      <w:r>
        <w:rPr>
          <w:rFonts w:hint="eastAsia"/>
          <w:sz w:val="28"/>
          <w:szCs w:val="28"/>
          <w:highlight w:val="none"/>
        </w:rPr>
        <w:t>%。</w:t>
      </w:r>
    </w:p>
    <w:p>
      <w:pPr>
        <w:widowControl/>
        <w:spacing w:line="580" w:lineRule="exact"/>
        <w:ind w:firstLine="640"/>
        <w:jc w:val="left"/>
        <w:rPr>
          <w:rFonts w:hint="eastAsia" w:ascii="仿宋_GB2312" w:eastAsia="仿宋_GB2312"/>
          <w:b/>
          <w:sz w:val="32"/>
          <w:szCs w:val="30"/>
        </w:rPr>
      </w:pPr>
      <w:r>
        <w:rPr>
          <w:rFonts w:hint="eastAsia" w:ascii="仿宋_GB2312" w:eastAsia="仿宋_GB2312"/>
          <w:b/>
          <w:sz w:val="32"/>
          <w:szCs w:val="30"/>
        </w:rPr>
        <w:t>第三部分  上饶市</w:t>
      </w:r>
      <w:r>
        <w:rPr>
          <w:rFonts w:hint="eastAsia" w:ascii="仿宋_GB2312" w:eastAsia="仿宋_GB2312"/>
          <w:b/>
          <w:sz w:val="32"/>
          <w:szCs w:val="30"/>
          <w:lang w:eastAsia="zh-CN"/>
        </w:rPr>
        <w:t>广丰区教育体育局</w:t>
      </w:r>
      <w:r>
        <w:rPr>
          <w:rFonts w:hint="eastAsia" w:ascii="仿宋_GB2312" w:eastAsia="仿宋_GB2312"/>
          <w:b/>
          <w:sz w:val="32"/>
          <w:szCs w:val="30"/>
        </w:rPr>
        <w:t>2022年部门预算表</w:t>
      </w:r>
    </w:p>
    <w:p>
      <w:pPr>
        <w:widowControl/>
        <w:spacing w:line="580" w:lineRule="exact"/>
        <w:ind w:firstLine="420" w:firstLineChars="200"/>
        <w:jc w:val="left"/>
        <w:rPr>
          <w:rFonts w:hint="eastAsia" w:ascii="仿宋_GB2312" w:eastAsia="仿宋_GB2312"/>
          <w:sz w:val="32"/>
          <w:szCs w:val="30"/>
        </w:rPr>
      </w:pPr>
      <w:r>
        <w:drawing>
          <wp:anchor distT="0" distB="0" distL="114300" distR="114300" simplePos="0" relativeHeight="251659264" behindDoc="0" locked="0" layoutInCell="1" allowOverlap="1">
            <wp:simplePos x="0" y="0"/>
            <wp:positionH relativeFrom="column">
              <wp:posOffset>-8890</wp:posOffset>
            </wp:positionH>
            <wp:positionV relativeFrom="paragraph">
              <wp:posOffset>466090</wp:posOffset>
            </wp:positionV>
            <wp:extent cx="5271770" cy="3357880"/>
            <wp:effectExtent l="0" t="0" r="5080" b="13970"/>
            <wp:wrapSquare wrapText="bothSides"/>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pic:cNvPicPr>
                  </pic:nvPicPr>
                  <pic:blipFill>
                    <a:blip r:embed="rId4"/>
                    <a:stretch>
                      <a:fillRect/>
                    </a:stretch>
                  </pic:blipFill>
                  <pic:spPr>
                    <a:xfrm>
                      <a:off x="0" y="0"/>
                      <a:ext cx="5271770" cy="3357880"/>
                    </a:xfrm>
                    <a:prstGeom prst="rect">
                      <a:avLst/>
                    </a:prstGeom>
                    <a:noFill/>
                    <a:ln>
                      <a:noFill/>
                    </a:ln>
                  </pic:spPr>
                </pic:pic>
              </a:graphicData>
            </a:graphic>
          </wp:anchor>
        </w:drawing>
      </w:r>
      <w:r>
        <w:rPr>
          <w:rFonts w:hint="eastAsia" w:ascii="仿宋_GB2312" w:eastAsia="仿宋_GB2312"/>
          <w:sz w:val="32"/>
          <w:szCs w:val="30"/>
        </w:rPr>
        <w:t>十一张表</w:t>
      </w:r>
    </w:p>
    <w:p>
      <w:pPr>
        <w:widowControl/>
        <w:spacing w:line="580" w:lineRule="exact"/>
        <w:ind w:firstLine="640"/>
        <w:jc w:val="left"/>
        <w:rPr>
          <w:rFonts w:hint="eastAsia" w:ascii="仿宋_GB2312" w:eastAsia="仿宋_GB2312"/>
          <w:b/>
          <w:sz w:val="32"/>
          <w:szCs w:val="30"/>
        </w:rPr>
      </w:pPr>
    </w:p>
    <w:p>
      <w:pPr>
        <w:widowControl/>
        <w:spacing w:line="580" w:lineRule="exact"/>
        <w:ind w:firstLine="640"/>
        <w:jc w:val="left"/>
        <w:rPr>
          <w:rFonts w:hint="eastAsia" w:ascii="仿宋_GB2312" w:eastAsia="仿宋_GB2312"/>
          <w:b/>
          <w:sz w:val="32"/>
          <w:szCs w:val="30"/>
        </w:rPr>
      </w:pPr>
    </w:p>
    <w:p>
      <w:pPr>
        <w:widowControl/>
        <w:spacing w:line="580" w:lineRule="exact"/>
        <w:ind w:firstLine="640"/>
        <w:jc w:val="left"/>
        <w:rPr>
          <w:rFonts w:hint="eastAsia" w:ascii="仿宋_GB2312" w:eastAsia="仿宋_GB2312"/>
          <w:b/>
          <w:sz w:val="32"/>
          <w:szCs w:val="30"/>
        </w:rPr>
      </w:pPr>
    </w:p>
    <w:p>
      <w:pPr>
        <w:widowControl/>
        <w:spacing w:line="580" w:lineRule="exact"/>
        <w:ind w:firstLine="640"/>
        <w:jc w:val="left"/>
        <w:rPr>
          <w:rFonts w:hint="eastAsia" w:ascii="仿宋_GB2312" w:eastAsia="仿宋_GB2312"/>
          <w:b/>
          <w:sz w:val="32"/>
          <w:szCs w:val="30"/>
        </w:rPr>
      </w:pPr>
    </w:p>
    <w:p>
      <w:pPr>
        <w:widowControl/>
        <w:spacing w:line="580" w:lineRule="exact"/>
        <w:jc w:val="left"/>
        <w:rPr>
          <w:rFonts w:hint="eastAsia" w:ascii="仿宋_GB2312" w:eastAsia="仿宋_GB2312"/>
          <w:b/>
          <w:sz w:val="32"/>
          <w:szCs w:val="30"/>
        </w:rPr>
      </w:pPr>
      <w:r>
        <w:drawing>
          <wp:anchor distT="0" distB="0" distL="114300" distR="114300" simplePos="0" relativeHeight="251660288" behindDoc="0" locked="0" layoutInCell="1" allowOverlap="1">
            <wp:simplePos x="0" y="0"/>
            <wp:positionH relativeFrom="column">
              <wp:posOffset>68580</wp:posOffset>
            </wp:positionH>
            <wp:positionV relativeFrom="paragraph">
              <wp:posOffset>-31115</wp:posOffset>
            </wp:positionV>
            <wp:extent cx="5272405" cy="8672195"/>
            <wp:effectExtent l="0" t="0" r="4445" b="14605"/>
            <wp:wrapSquare wrapText="bothSides"/>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pic:cNvPicPr>
                  </pic:nvPicPr>
                  <pic:blipFill>
                    <a:blip r:embed="rId5"/>
                    <a:stretch>
                      <a:fillRect/>
                    </a:stretch>
                  </pic:blipFill>
                  <pic:spPr>
                    <a:xfrm>
                      <a:off x="0" y="0"/>
                      <a:ext cx="5272405" cy="8672195"/>
                    </a:xfrm>
                    <a:prstGeom prst="rect">
                      <a:avLst/>
                    </a:prstGeom>
                    <a:noFill/>
                    <a:ln>
                      <a:noFill/>
                    </a:ln>
                  </pic:spPr>
                </pic:pic>
              </a:graphicData>
            </a:graphic>
          </wp:anchor>
        </w:drawing>
      </w:r>
    </w:p>
    <w:p>
      <w:pPr>
        <w:widowControl/>
        <w:spacing w:line="580" w:lineRule="exact"/>
        <w:ind w:firstLine="640"/>
        <w:jc w:val="left"/>
        <w:rPr>
          <w:rFonts w:hint="eastAsia" w:ascii="仿宋_GB2312" w:eastAsia="仿宋_GB2312"/>
          <w:b/>
          <w:sz w:val="32"/>
          <w:szCs w:val="30"/>
        </w:rPr>
      </w:pPr>
      <w:r>
        <w:drawing>
          <wp:anchor distT="0" distB="0" distL="114300" distR="114300" simplePos="0" relativeHeight="251661312" behindDoc="0" locked="0" layoutInCell="1" allowOverlap="1">
            <wp:simplePos x="0" y="0"/>
            <wp:positionH relativeFrom="column">
              <wp:posOffset>-61595</wp:posOffset>
            </wp:positionH>
            <wp:positionV relativeFrom="paragraph">
              <wp:posOffset>-396875</wp:posOffset>
            </wp:positionV>
            <wp:extent cx="5269230" cy="8724265"/>
            <wp:effectExtent l="0" t="0" r="7620" b="635"/>
            <wp:wrapSquare wrapText="bothSides"/>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pic:cNvPicPr>
                  </pic:nvPicPr>
                  <pic:blipFill>
                    <a:blip r:embed="rId6"/>
                    <a:stretch>
                      <a:fillRect/>
                    </a:stretch>
                  </pic:blipFill>
                  <pic:spPr>
                    <a:xfrm>
                      <a:off x="0" y="0"/>
                      <a:ext cx="5269230" cy="8724265"/>
                    </a:xfrm>
                    <a:prstGeom prst="rect">
                      <a:avLst/>
                    </a:prstGeom>
                    <a:noFill/>
                    <a:ln>
                      <a:noFill/>
                    </a:ln>
                  </pic:spPr>
                </pic:pic>
              </a:graphicData>
            </a:graphic>
          </wp:anchor>
        </w:drawing>
      </w:r>
    </w:p>
    <w:p>
      <w:pPr>
        <w:widowControl/>
        <w:spacing w:line="580" w:lineRule="exact"/>
        <w:ind w:firstLine="640"/>
        <w:jc w:val="left"/>
        <w:rPr>
          <w:rFonts w:hint="eastAsia" w:ascii="仿宋_GB2312" w:eastAsia="仿宋_GB2312"/>
          <w:b/>
          <w:sz w:val="32"/>
          <w:szCs w:val="30"/>
        </w:rPr>
      </w:pPr>
      <w:r>
        <w:drawing>
          <wp:anchor distT="0" distB="0" distL="114300" distR="114300" simplePos="0" relativeHeight="251662336" behindDoc="0" locked="0" layoutInCell="1" allowOverlap="1">
            <wp:simplePos x="0" y="0"/>
            <wp:positionH relativeFrom="column">
              <wp:posOffset>-17780</wp:posOffset>
            </wp:positionH>
            <wp:positionV relativeFrom="paragraph">
              <wp:posOffset>3710305</wp:posOffset>
            </wp:positionV>
            <wp:extent cx="5271770" cy="3564890"/>
            <wp:effectExtent l="0" t="0" r="5080" b="16510"/>
            <wp:wrapSquare wrapText="bothSides"/>
            <wp:docPr id="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6"/>
                    <pic:cNvPicPr>
                      <a:picLocks noChangeAspect="1"/>
                    </pic:cNvPicPr>
                  </pic:nvPicPr>
                  <pic:blipFill>
                    <a:blip r:embed="rId7"/>
                    <a:stretch>
                      <a:fillRect/>
                    </a:stretch>
                  </pic:blipFill>
                  <pic:spPr>
                    <a:xfrm>
                      <a:off x="0" y="0"/>
                      <a:ext cx="5271770" cy="3564890"/>
                    </a:xfrm>
                    <a:prstGeom prst="rect">
                      <a:avLst/>
                    </a:prstGeom>
                    <a:noFill/>
                    <a:ln>
                      <a:noFill/>
                    </a:ln>
                  </pic:spPr>
                </pic:pic>
              </a:graphicData>
            </a:graphic>
          </wp:anchor>
        </w:drawing>
      </w:r>
      <w:r>
        <w:drawing>
          <wp:anchor distT="0" distB="0" distL="114300" distR="114300" simplePos="0" relativeHeight="251663360" behindDoc="0" locked="0" layoutInCell="1" allowOverlap="1">
            <wp:simplePos x="0" y="0"/>
            <wp:positionH relativeFrom="column">
              <wp:posOffset>-78740</wp:posOffset>
            </wp:positionH>
            <wp:positionV relativeFrom="paragraph">
              <wp:posOffset>-230505</wp:posOffset>
            </wp:positionV>
            <wp:extent cx="5267325" cy="3686810"/>
            <wp:effectExtent l="0" t="0" r="9525" b="8890"/>
            <wp:wrapSquare wrapText="bothSides"/>
            <wp:docPr id="5"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7"/>
                    <pic:cNvPicPr>
                      <a:picLocks noChangeAspect="1"/>
                    </pic:cNvPicPr>
                  </pic:nvPicPr>
                  <pic:blipFill>
                    <a:blip r:embed="rId8"/>
                    <a:stretch>
                      <a:fillRect/>
                    </a:stretch>
                  </pic:blipFill>
                  <pic:spPr>
                    <a:xfrm>
                      <a:off x="0" y="0"/>
                      <a:ext cx="5267325" cy="3686810"/>
                    </a:xfrm>
                    <a:prstGeom prst="rect">
                      <a:avLst/>
                    </a:prstGeom>
                    <a:noFill/>
                    <a:ln>
                      <a:noFill/>
                    </a:ln>
                  </pic:spPr>
                </pic:pic>
              </a:graphicData>
            </a:graphic>
          </wp:anchor>
        </w:drawing>
      </w:r>
    </w:p>
    <w:p>
      <w:pPr>
        <w:widowControl/>
        <w:spacing w:line="580" w:lineRule="exact"/>
        <w:ind w:firstLine="640"/>
        <w:jc w:val="left"/>
        <w:rPr>
          <w:rFonts w:hint="eastAsia" w:ascii="仿宋_GB2312" w:eastAsia="仿宋_GB2312"/>
          <w:b/>
          <w:sz w:val="32"/>
          <w:szCs w:val="30"/>
        </w:rPr>
      </w:pPr>
    </w:p>
    <w:p>
      <w:pPr>
        <w:widowControl/>
        <w:spacing w:line="580" w:lineRule="exact"/>
        <w:ind w:firstLine="640"/>
        <w:jc w:val="left"/>
        <w:rPr>
          <w:rFonts w:hint="eastAsia" w:ascii="仿宋_GB2312" w:eastAsia="仿宋_GB2312"/>
          <w:b/>
          <w:sz w:val="32"/>
          <w:szCs w:val="30"/>
        </w:rPr>
      </w:pPr>
    </w:p>
    <w:p>
      <w:pPr>
        <w:widowControl/>
        <w:spacing w:line="580" w:lineRule="exact"/>
        <w:jc w:val="left"/>
        <w:rPr>
          <w:rFonts w:hint="eastAsia" w:ascii="仿宋_GB2312" w:eastAsia="仿宋_GB2312"/>
          <w:b/>
          <w:sz w:val="32"/>
          <w:szCs w:val="30"/>
        </w:rPr>
      </w:pPr>
    </w:p>
    <w:p>
      <w:pPr>
        <w:widowControl/>
        <w:spacing w:line="580" w:lineRule="exact"/>
        <w:ind w:firstLine="640"/>
        <w:jc w:val="left"/>
        <w:rPr>
          <w:rFonts w:hint="eastAsia" w:ascii="仿宋_GB2312" w:eastAsia="仿宋_GB2312"/>
          <w:b/>
          <w:sz w:val="32"/>
          <w:szCs w:val="30"/>
        </w:rPr>
      </w:pPr>
      <w:r>
        <w:drawing>
          <wp:anchor distT="0" distB="0" distL="114300" distR="114300" simplePos="0" relativeHeight="251664384" behindDoc="0" locked="0" layoutInCell="1" allowOverlap="1">
            <wp:simplePos x="0" y="0"/>
            <wp:positionH relativeFrom="column">
              <wp:posOffset>26670</wp:posOffset>
            </wp:positionH>
            <wp:positionV relativeFrom="paragraph">
              <wp:posOffset>-64135</wp:posOffset>
            </wp:positionV>
            <wp:extent cx="5274945" cy="8967470"/>
            <wp:effectExtent l="0" t="0" r="1905" b="5080"/>
            <wp:wrapSquare wrapText="bothSides"/>
            <wp:docPr id="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8"/>
                    <pic:cNvPicPr>
                      <a:picLocks noChangeAspect="1"/>
                    </pic:cNvPicPr>
                  </pic:nvPicPr>
                  <pic:blipFill>
                    <a:blip r:embed="rId9"/>
                    <a:stretch>
                      <a:fillRect/>
                    </a:stretch>
                  </pic:blipFill>
                  <pic:spPr>
                    <a:xfrm>
                      <a:off x="0" y="0"/>
                      <a:ext cx="5274945" cy="8967470"/>
                    </a:xfrm>
                    <a:prstGeom prst="rect">
                      <a:avLst/>
                    </a:prstGeom>
                    <a:noFill/>
                    <a:ln>
                      <a:noFill/>
                    </a:ln>
                  </pic:spPr>
                </pic:pic>
              </a:graphicData>
            </a:graphic>
          </wp:anchor>
        </w:drawing>
      </w:r>
    </w:p>
    <w:p>
      <w:pPr>
        <w:widowControl/>
        <w:spacing w:line="580" w:lineRule="exact"/>
        <w:jc w:val="left"/>
        <w:rPr>
          <w:rFonts w:hint="eastAsia" w:ascii="仿宋_GB2312" w:eastAsia="仿宋_GB2312"/>
          <w:b/>
          <w:sz w:val="32"/>
          <w:szCs w:val="30"/>
        </w:rPr>
      </w:pPr>
    </w:p>
    <w:p>
      <w:pPr>
        <w:widowControl/>
        <w:spacing w:line="580" w:lineRule="exact"/>
        <w:jc w:val="left"/>
        <w:rPr>
          <w:rFonts w:hint="eastAsia" w:ascii="仿宋_GB2312" w:eastAsia="仿宋_GB2312"/>
          <w:b/>
          <w:sz w:val="32"/>
          <w:szCs w:val="30"/>
        </w:rPr>
      </w:pPr>
    </w:p>
    <w:p>
      <w:pPr>
        <w:widowControl/>
        <w:spacing w:line="580" w:lineRule="exact"/>
        <w:jc w:val="left"/>
        <w:rPr>
          <w:rFonts w:hint="eastAsia" w:ascii="仿宋_GB2312" w:eastAsia="仿宋_GB2312"/>
          <w:b/>
          <w:sz w:val="32"/>
          <w:szCs w:val="30"/>
        </w:rPr>
      </w:pPr>
      <w:r>
        <w:drawing>
          <wp:anchor distT="0" distB="0" distL="114300" distR="114300" simplePos="0" relativeHeight="251667456" behindDoc="0" locked="0" layoutInCell="1" allowOverlap="1">
            <wp:simplePos x="0" y="0"/>
            <wp:positionH relativeFrom="column">
              <wp:posOffset>-95250</wp:posOffset>
            </wp:positionH>
            <wp:positionV relativeFrom="paragraph">
              <wp:posOffset>4781550</wp:posOffset>
            </wp:positionV>
            <wp:extent cx="5412105" cy="2562860"/>
            <wp:effectExtent l="0" t="0" r="17145" b="8890"/>
            <wp:wrapSquare wrapText="bothSides"/>
            <wp:docPr id="9"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1"/>
                    <pic:cNvPicPr>
                      <a:picLocks noChangeAspect="1"/>
                    </pic:cNvPicPr>
                  </pic:nvPicPr>
                  <pic:blipFill>
                    <a:blip r:embed="rId10"/>
                    <a:stretch>
                      <a:fillRect/>
                    </a:stretch>
                  </pic:blipFill>
                  <pic:spPr>
                    <a:xfrm>
                      <a:off x="0" y="0"/>
                      <a:ext cx="5412105" cy="2562860"/>
                    </a:xfrm>
                    <a:prstGeom prst="rect">
                      <a:avLst/>
                    </a:prstGeom>
                    <a:noFill/>
                    <a:ln>
                      <a:noFill/>
                    </a:ln>
                  </pic:spPr>
                </pic:pic>
              </a:graphicData>
            </a:graphic>
          </wp:anchor>
        </w:drawing>
      </w:r>
      <w:r>
        <w:drawing>
          <wp:anchor distT="0" distB="0" distL="114300" distR="114300" simplePos="0" relativeHeight="251666432" behindDoc="0" locked="0" layoutInCell="1" allowOverlap="1">
            <wp:simplePos x="0" y="0"/>
            <wp:positionH relativeFrom="column">
              <wp:posOffset>-85725</wp:posOffset>
            </wp:positionH>
            <wp:positionV relativeFrom="paragraph">
              <wp:posOffset>1816100</wp:posOffset>
            </wp:positionV>
            <wp:extent cx="5267325" cy="2076450"/>
            <wp:effectExtent l="0" t="0" r="9525" b="0"/>
            <wp:wrapSquare wrapText="bothSides"/>
            <wp:docPr id="8"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10"/>
                    <pic:cNvPicPr>
                      <a:picLocks noChangeAspect="1"/>
                    </pic:cNvPicPr>
                  </pic:nvPicPr>
                  <pic:blipFill>
                    <a:blip r:embed="rId11"/>
                    <a:stretch>
                      <a:fillRect/>
                    </a:stretch>
                  </pic:blipFill>
                  <pic:spPr>
                    <a:xfrm>
                      <a:off x="0" y="0"/>
                      <a:ext cx="5267325" cy="2076450"/>
                    </a:xfrm>
                    <a:prstGeom prst="rect">
                      <a:avLst/>
                    </a:prstGeom>
                    <a:noFill/>
                    <a:ln>
                      <a:noFill/>
                    </a:ln>
                  </pic:spPr>
                </pic:pic>
              </a:graphicData>
            </a:graphic>
          </wp:anchor>
        </w:drawing>
      </w:r>
      <w:r>
        <w:drawing>
          <wp:anchor distT="0" distB="0" distL="114300" distR="114300" simplePos="0" relativeHeight="251665408" behindDoc="0" locked="0" layoutInCell="1" allowOverlap="1">
            <wp:simplePos x="0" y="0"/>
            <wp:positionH relativeFrom="column">
              <wp:posOffset>-43180</wp:posOffset>
            </wp:positionH>
            <wp:positionV relativeFrom="paragraph">
              <wp:posOffset>73025</wp:posOffset>
            </wp:positionV>
            <wp:extent cx="5354955" cy="2514600"/>
            <wp:effectExtent l="0" t="0" r="17145" b="0"/>
            <wp:wrapSquare wrapText="bothSides"/>
            <wp:docPr id="7"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9"/>
                    <pic:cNvPicPr>
                      <a:picLocks noChangeAspect="1"/>
                    </pic:cNvPicPr>
                  </pic:nvPicPr>
                  <pic:blipFill>
                    <a:blip r:embed="rId12"/>
                    <a:stretch>
                      <a:fillRect/>
                    </a:stretch>
                  </pic:blipFill>
                  <pic:spPr>
                    <a:xfrm>
                      <a:off x="0" y="0"/>
                      <a:ext cx="5354955" cy="2514600"/>
                    </a:xfrm>
                    <a:prstGeom prst="rect">
                      <a:avLst/>
                    </a:prstGeom>
                    <a:noFill/>
                    <a:ln>
                      <a:noFill/>
                    </a:ln>
                  </pic:spPr>
                </pic:pic>
              </a:graphicData>
            </a:graphic>
          </wp:anchor>
        </w:drawing>
      </w:r>
    </w:p>
    <w:p>
      <w:pPr>
        <w:widowControl/>
        <w:spacing w:line="580" w:lineRule="exact"/>
        <w:jc w:val="left"/>
        <w:rPr>
          <w:rFonts w:hint="eastAsia" w:ascii="仿宋_GB2312" w:eastAsia="仿宋_GB2312"/>
          <w:b/>
          <w:sz w:val="32"/>
          <w:szCs w:val="30"/>
        </w:rPr>
      </w:pPr>
    </w:p>
    <w:p>
      <w:pPr>
        <w:widowControl/>
        <w:spacing w:line="580" w:lineRule="exact"/>
        <w:jc w:val="left"/>
        <w:rPr>
          <w:rFonts w:hint="eastAsia" w:ascii="仿宋_GB2312" w:eastAsia="仿宋_GB2312"/>
          <w:b/>
          <w:sz w:val="32"/>
          <w:szCs w:val="30"/>
        </w:rPr>
      </w:pPr>
    </w:p>
    <w:p>
      <w:pPr>
        <w:widowControl/>
        <w:spacing w:line="580" w:lineRule="exact"/>
        <w:jc w:val="left"/>
        <w:rPr>
          <w:rFonts w:hint="eastAsia" w:ascii="仿宋_GB2312" w:eastAsia="仿宋_GB2312"/>
          <w:b/>
          <w:sz w:val="32"/>
          <w:szCs w:val="30"/>
        </w:rPr>
      </w:pPr>
    </w:p>
    <w:p>
      <w:pPr>
        <w:widowControl/>
        <w:spacing w:line="580" w:lineRule="exact"/>
        <w:jc w:val="left"/>
        <w:rPr>
          <w:rFonts w:hint="eastAsia" w:ascii="仿宋_GB2312" w:eastAsia="仿宋_GB2312"/>
          <w:b/>
          <w:sz w:val="32"/>
          <w:szCs w:val="30"/>
        </w:rPr>
      </w:pPr>
      <w:r>
        <w:drawing>
          <wp:anchor distT="0" distB="0" distL="114300" distR="114300" simplePos="0" relativeHeight="251669504" behindDoc="0" locked="0" layoutInCell="1" allowOverlap="1">
            <wp:simplePos x="0" y="0"/>
            <wp:positionH relativeFrom="column">
              <wp:posOffset>26035</wp:posOffset>
            </wp:positionH>
            <wp:positionV relativeFrom="paragraph">
              <wp:posOffset>1852930</wp:posOffset>
            </wp:positionV>
            <wp:extent cx="5273675" cy="1538605"/>
            <wp:effectExtent l="0" t="0" r="3175" b="4445"/>
            <wp:wrapSquare wrapText="bothSides"/>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13"/>
                    <a:stretch>
                      <a:fillRect/>
                    </a:stretch>
                  </pic:blipFill>
                  <pic:spPr>
                    <a:xfrm>
                      <a:off x="0" y="0"/>
                      <a:ext cx="5273675" cy="1538605"/>
                    </a:xfrm>
                    <a:prstGeom prst="rect">
                      <a:avLst/>
                    </a:prstGeom>
                    <a:noFill/>
                    <a:ln>
                      <a:noFill/>
                    </a:ln>
                  </pic:spPr>
                </pic:pic>
              </a:graphicData>
            </a:graphic>
          </wp:anchor>
        </w:drawing>
      </w:r>
      <w:r>
        <w:drawing>
          <wp:anchor distT="0" distB="0" distL="114300" distR="114300" simplePos="0" relativeHeight="251668480" behindDoc="0" locked="0" layoutInCell="1" allowOverlap="1">
            <wp:simplePos x="0" y="0"/>
            <wp:positionH relativeFrom="column">
              <wp:posOffset>-17145</wp:posOffset>
            </wp:positionH>
            <wp:positionV relativeFrom="paragraph">
              <wp:posOffset>107315</wp:posOffset>
            </wp:positionV>
            <wp:extent cx="5273675" cy="1435735"/>
            <wp:effectExtent l="0" t="0" r="3175" b="12065"/>
            <wp:wrapSquare wrapText="bothSides"/>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14"/>
                    <a:stretch>
                      <a:fillRect/>
                    </a:stretch>
                  </pic:blipFill>
                  <pic:spPr>
                    <a:xfrm>
                      <a:off x="0" y="0"/>
                      <a:ext cx="5273675" cy="1435735"/>
                    </a:xfrm>
                    <a:prstGeom prst="rect">
                      <a:avLst/>
                    </a:prstGeom>
                    <a:noFill/>
                    <a:ln>
                      <a:noFill/>
                    </a:ln>
                  </pic:spPr>
                </pic:pic>
              </a:graphicData>
            </a:graphic>
          </wp:anchor>
        </w:drawing>
      </w:r>
    </w:p>
    <w:p>
      <w:pPr>
        <w:widowControl/>
        <w:spacing w:line="580" w:lineRule="exact"/>
        <w:ind w:firstLine="640"/>
        <w:jc w:val="left"/>
        <w:rPr>
          <w:rFonts w:hint="eastAsia" w:ascii="仿宋_GB2312" w:eastAsia="仿宋_GB2312"/>
          <w:b/>
          <w:sz w:val="32"/>
          <w:szCs w:val="30"/>
        </w:rPr>
      </w:pPr>
      <w:r>
        <w:rPr>
          <w:rFonts w:hint="eastAsia" w:ascii="仿宋_GB2312" w:eastAsia="仿宋_GB2312"/>
          <w:b/>
          <w:sz w:val="32"/>
          <w:szCs w:val="30"/>
        </w:rPr>
        <w:t>第四部分   名词解释</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一、收入科目</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各部门结合实际进行解释。</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（一）财政拨款：指</w:t>
      </w:r>
      <w:r>
        <w:rPr>
          <w:rFonts w:hint="eastAsia" w:ascii="仿宋_GB2312" w:eastAsia="仿宋_GB2312"/>
          <w:sz w:val="32"/>
          <w:szCs w:val="30"/>
          <w:lang w:eastAsia="zh-CN"/>
        </w:rPr>
        <w:t>区</w:t>
      </w:r>
      <w:r>
        <w:rPr>
          <w:rFonts w:hint="eastAsia" w:ascii="仿宋_GB2312" w:eastAsia="仿宋_GB2312"/>
          <w:sz w:val="32"/>
          <w:szCs w:val="30"/>
        </w:rPr>
        <w:t>级财政当年拨付的资金。</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（二）教育收费资金收入：反映实行专项管理的高中以上学费、住宿费，高校委托培养费，函大、电大、夜大及短训班培训费等教育收费取得的收入。</w:t>
      </w:r>
    </w:p>
    <w:p>
      <w:pPr>
        <w:widowControl/>
        <w:spacing w:line="580" w:lineRule="exact"/>
        <w:ind w:firstLine="636"/>
        <w:jc w:val="left"/>
        <w:rPr>
          <w:rFonts w:hint="eastAsia" w:ascii="仿宋_GB2312" w:eastAsia="仿宋_GB2312"/>
          <w:sz w:val="32"/>
          <w:szCs w:val="30"/>
        </w:rPr>
      </w:pPr>
      <w:r>
        <w:rPr>
          <w:rFonts w:hint="eastAsia" w:ascii="仿宋_GB2312" w:eastAsia="仿宋_GB2312"/>
          <w:sz w:val="32"/>
          <w:szCs w:val="30"/>
        </w:rPr>
        <w:t>（三）事业收入：指事业单位开展专业业务活动及辅助活动取得的收入。</w:t>
      </w:r>
    </w:p>
    <w:p>
      <w:pPr>
        <w:widowControl/>
        <w:spacing w:line="580" w:lineRule="exact"/>
        <w:ind w:firstLine="636"/>
        <w:jc w:val="left"/>
        <w:rPr>
          <w:rFonts w:hint="eastAsia" w:ascii="仿宋_GB2312" w:eastAsia="仿宋_GB2312"/>
          <w:sz w:val="32"/>
          <w:szCs w:val="30"/>
        </w:rPr>
      </w:pPr>
      <w:r>
        <w:rPr>
          <w:rFonts w:hint="eastAsia" w:ascii="仿宋_GB2312" w:eastAsia="仿宋_GB2312"/>
          <w:sz w:val="32"/>
          <w:szCs w:val="30"/>
        </w:rPr>
        <w:t>（四）事业单位经营收入：指事业单位在专业业务活动及辅助活动之外开展非独立核算经营活动取得的收入。</w:t>
      </w:r>
    </w:p>
    <w:p>
      <w:pPr>
        <w:ind w:firstLine="640" w:firstLineChars="200"/>
        <w:rPr>
          <w:rFonts w:hint="eastAsia" w:ascii="仿宋_GB2312" w:eastAsia="仿宋_GB2312"/>
          <w:sz w:val="32"/>
          <w:szCs w:val="30"/>
        </w:rPr>
      </w:pPr>
      <w:r>
        <w:rPr>
          <w:rFonts w:hint="eastAsia" w:ascii="仿宋_GB2312" w:eastAsia="仿宋_GB2312"/>
          <w:sz w:val="32"/>
          <w:szCs w:val="30"/>
        </w:rPr>
        <w:t>（五）附属单位上缴收入：反映事业单位附属的独立核算单位按规定标准或比例缴纳的各项收入。包括附属的事业单位上缴的收入和附属的企业上缴的利润等。</w:t>
      </w:r>
    </w:p>
    <w:p>
      <w:pPr>
        <w:ind w:firstLine="640" w:firstLineChars="200"/>
        <w:rPr>
          <w:rFonts w:hint="eastAsia" w:ascii="仿宋_GB2312" w:eastAsia="仿宋_GB2312"/>
          <w:sz w:val="32"/>
          <w:szCs w:val="30"/>
        </w:rPr>
      </w:pPr>
      <w:r>
        <w:rPr>
          <w:rFonts w:hint="eastAsia" w:ascii="仿宋_GB2312" w:eastAsia="仿宋_GB2312"/>
          <w:sz w:val="32"/>
          <w:szCs w:val="30"/>
        </w:rPr>
        <w:t>（六）上级补助收入：反映事业单位从主管部门和上级单位取得的非财政补助收入。</w:t>
      </w:r>
    </w:p>
    <w:p>
      <w:pPr>
        <w:widowControl/>
        <w:spacing w:line="580" w:lineRule="exact"/>
        <w:ind w:firstLine="636"/>
        <w:jc w:val="left"/>
        <w:rPr>
          <w:rFonts w:hint="eastAsia" w:ascii="仿宋_GB2312" w:eastAsia="仿宋_GB2312"/>
          <w:sz w:val="32"/>
          <w:szCs w:val="30"/>
        </w:rPr>
      </w:pPr>
      <w:r>
        <w:rPr>
          <w:rFonts w:hint="eastAsia" w:ascii="仿宋_GB2312" w:eastAsia="仿宋_GB2312"/>
          <w:sz w:val="32"/>
          <w:szCs w:val="30"/>
        </w:rPr>
        <w:t>（七）其他收入：</w:t>
      </w:r>
      <w:r>
        <w:rPr>
          <w:rFonts w:hint="eastAsia" w:ascii="仿宋_GB2312" w:eastAsia="仿宋_GB2312"/>
          <w:sz w:val="32"/>
          <w:szCs w:val="30"/>
          <w:lang w:eastAsia="zh-CN"/>
        </w:rPr>
        <w:t>按财政局要求本年度所有外单位（含上级主管单位）拨入、单位自收自支、个人</w:t>
      </w:r>
      <w:r>
        <w:rPr>
          <w:rFonts w:hint="eastAsia" w:ascii="仿宋_GB2312" w:eastAsia="仿宋_GB2312"/>
          <w:sz w:val="32"/>
          <w:szCs w:val="30"/>
          <w:lang w:val="en-US" w:eastAsia="zh-CN"/>
        </w:rPr>
        <w:t>(企业）捐赠</w:t>
      </w:r>
      <w:r>
        <w:rPr>
          <w:rFonts w:hint="eastAsia" w:ascii="仿宋_GB2312" w:eastAsia="仿宋_GB2312"/>
          <w:sz w:val="32"/>
          <w:szCs w:val="30"/>
          <w:lang w:eastAsia="zh-CN"/>
        </w:rPr>
        <w:t>等代管性质的资金必须纳入年初预算。因无法预测金额、拨入股室，在预算一体化系统中</w:t>
      </w:r>
      <w:r>
        <w:rPr>
          <w:rFonts w:hint="eastAsia" w:ascii="仿宋_GB2312" w:eastAsia="仿宋_GB2312"/>
          <w:sz w:val="32"/>
          <w:szCs w:val="30"/>
          <w:lang w:val="en-US" w:eastAsia="zh-CN"/>
        </w:rPr>
        <w:t>建多个特定目标类项目库作临时拨款用库，资金归集到其他收入。</w:t>
      </w:r>
      <w:bookmarkStart w:id="0" w:name="_GoBack"/>
      <w:bookmarkEnd w:id="0"/>
    </w:p>
    <w:p>
      <w:pPr>
        <w:ind w:firstLine="640" w:firstLineChars="200"/>
        <w:rPr>
          <w:rFonts w:hint="eastAsia" w:ascii="仿宋_GB2312" w:eastAsia="仿宋_GB2312"/>
          <w:sz w:val="32"/>
          <w:szCs w:val="30"/>
        </w:rPr>
      </w:pPr>
      <w:r>
        <w:rPr>
          <w:rFonts w:hint="eastAsia" w:ascii="仿宋_GB2312" w:eastAsia="仿宋_GB2312"/>
          <w:sz w:val="32"/>
          <w:szCs w:val="30"/>
        </w:rPr>
        <w:t>（八）使用非财政拨款结余：填列历年滚存的非限定用途的非统计财政拨款结余弥补2022年收支差额的数额。</w:t>
      </w:r>
    </w:p>
    <w:p>
      <w:pPr>
        <w:ind w:firstLine="640" w:firstLineChars="200"/>
        <w:rPr>
          <w:rFonts w:hint="eastAsia" w:ascii="仿宋_GB2312" w:eastAsia="仿宋_GB2312"/>
          <w:sz w:val="32"/>
          <w:szCs w:val="30"/>
        </w:rPr>
      </w:pPr>
      <w:r>
        <w:rPr>
          <w:rFonts w:hint="eastAsia" w:ascii="仿宋_GB2312" w:eastAsia="仿宋_GB2312"/>
          <w:sz w:val="32"/>
          <w:szCs w:val="30"/>
        </w:rPr>
        <w:t>（九）上年结转和结余：填列2021年全部结转和结余的资金数，包括当年结转结余资金和历年滚存结转结余资金。</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二、支出科目</w:t>
      </w:r>
    </w:p>
    <w:p>
      <w:pPr>
        <w:widowControl/>
        <w:spacing w:line="580" w:lineRule="exact"/>
        <w:ind w:firstLine="640"/>
        <w:jc w:val="left"/>
        <w:rPr>
          <w:rFonts w:hint="eastAsia" w:ascii="仿宋_GB2312" w:eastAsia="仿宋_GB2312"/>
          <w:sz w:val="32"/>
          <w:szCs w:val="30"/>
        </w:rPr>
      </w:pPr>
      <w:r>
        <w:rPr>
          <w:rFonts w:hint="eastAsia" w:ascii="仿宋_GB2312" w:eastAsia="仿宋_GB2312"/>
          <w:sz w:val="32"/>
          <w:szCs w:val="30"/>
        </w:rPr>
        <w:t>对部门预算中涉及的支出功能分类科目（明细到项级），结合部门实际，参照《2022年政府收支分类科目》的规范说明进行解释。</w:t>
      </w:r>
    </w:p>
    <w:p>
      <w:pPr>
        <w:widowControl/>
        <w:spacing w:line="580" w:lineRule="exact"/>
        <w:ind w:firstLine="640"/>
        <w:jc w:val="left"/>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F7A6A1F"/>
    <w:multiLevelType w:val="singleLevel"/>
    <w:tmpl w:val="DF7A6A1F"/>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3671"/>
    <w:rsid w:val="000425E9"/>
    <w:rsid w:val="00206D9B"/>
    <w:rsid w:val="0028237E"/>
    <w:rsid w:val="002C2715"/>
    <w:rsid w:val="002C4FF8"/>
    <w:rsid w:val="002E174F"/>
    <w:rsid w:val="002F77B7"/>
    <w:rsid w:val="00334B45"/>
    <w:rsid w:val="00377A26"/>
    <w:rsid w:val="00423394"/>
    <w:rsid w:val="004667A9"/>
    <w:rsid w:val="00527B43"/>
    <w:rsid w:val="00547328"/>
    <w:rsid w:val="005D5C1D"/>
    <w:rsid w:val="00684075"/>
    <w:rsid w:val="006C5F75"/>
    <w:rsid w:val="006D2B57"/>
    <w:rsid w:val="006E39F3"/>
    <w:rsid w:val="006E4D06"/>
    <w:rsid w:val="00707D9C"/>
    <w:rsid w:val="0073735B"/>
    <w:rsid w:val="007965AD"/>
    <w:rsid w:val="007A5405"/>
    <w:rsid w:val="007C47D2"/>
    <w:rsid w:val="007E24A5"/>
    <w:rsid w:val="007F48EE"/>
    <w:rsid w:val="00915CFC"/>
    <w:rsid w:val="00937FD7"/>
    <w:rsid w:val="00946297"/>
    <w:rsid w:val="00950782"/>
    <w:rsid w:val="009B0842"/>
    <w:rsid w:val="009B49D7"/>
    <w:rsid w:val="009B4DF2"/>
    <w:rsid w:val="009E2E44"/>
    <w:rsid w:val="00A273B6"/>
    <w:rsid w:val="00B1320F"/>
    <w:rsid w:val="00C02B45"/>
    <w:rsid w:val="00CD30BB"/>
    <w:rsid w:val="00CE3777"/>
    <w:rsid w:val="00D03AF0"/>
    <w:rsid w:val="00DD169A"/>
    <w:rsid w:val="00E675C1"/>
    <w:rsid w:val="00F04158"/>
    <w:rsid w:val="00F11988"/>
    <w:rsid w:val="00F85CAB"/>
    <w:rsid w:val="00FB443B"/>
    <w:rsid w:val="05564023"/>
    <w:rsid w:val="05B93D2F"/>
    <w:rsid w:val="0B9D1C27"/>
    <w:rsid w:val="14AB6099"/>
    <w:rsid w:val="23A966CE"/>
    <w:rsid w:val="357277BA"/>
    <w:rsid w:val="35DA7E1B"/>
    <w:rsid w:val="427571C2"/>
    <w:rsid w:val="4B7113AA"/>
    <w:rsid w:val="50AD0359"/>
    <w:rsid w:val="5EEA3A1A"/>
    <w:rsid w:val="6CDB296D"/>
    <w:rsid w:val="730F4A4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qFormat/>
    <w:uiPriority w:val="0"/>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2338</Words>
  <Characters>2575</Characters>
  <Lines>16</Lines>
  <Paragraphs>4</Paragraphs>
  <TotalTime>1</TotalTime>
  <ScaleCrop>false</ScaleCrop>
  <LinksUpToDate>false</LinksUpToDate>
  <CharactersWithSpaces>2606</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2011-09-13T03:13:00Z</dcterms:created>
  <dc:creator>dell</dc:creator>
  <cp:lastModifiedBy>Administrator</cp:lastModifiedBy>
  <cp:lastPrinted>2022-03-25T02:40:00Z</cp:lastPrinted>
  <dcterms:modified xsi:type="dcterms:W3CDTF">2022-04-06T03:05:13Z</dcterms:modified>
  <dc:title>附件：</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76E7E2F2FF634891B1A1A6BE1AC83F37</vt:lpwstr>
  </property>
</Properties>
</file>