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ind w:firstLine="883" w:firstLineChars="200"/>
        <w:jc w:val="center"/>
        <w:rPr>
          <w:rFonts w:hint="eastAsia" w:ascii="黑体" w:hAnsi="黑体" w:eastAsia="黑体"/>
          <w:b/>
          <w:sz w:val="44"/>
          <w:szCs w:val="44"/>
        </w:rPr>
      </w:pPr>
      <w:r>
        <w:rPr>
          <w:rFonts w:hint="eastAsia" w:ascii="黑体" w:hAnsi="黑体" w:eastAsia="黑体"/>
          <w:b/>
          <w:sz w:val="44"/>
          <w:szCs w:val="44"/>
        </w:rPr>
        <w:t>上饶市</w:t>
      </w:r>
      <w:r>
        <w:rPr>
          <w:rFonts w:hint="eastAsia" w:ascii="黑体" w:hAnsi="黑体" w:eastAsia="黑体"/>
          <w:b/>
          <w:sz w:val="44"/>
          <w:szCs w:val="44"/>
          <w:lang w:eastAsia="zh-CN"/>
        </w:rPr>
        <w:t>广丰区教育体育局</w:t>
      </w:r>
      <w:r>
        <w:rPr>
          <w:rFonts w:hint="eastAsia" w:ascii="黑体" w:hAnsi="黑体" w:eastAsia="黑体"/>
          <w:b/>
          <w:sz w:val="44"/>
          <w:szCs w:val="44"/>
        </w:rPr>
        <w:t>2022</w:t>
      </w:r>
    </w:p>
    <w:p>
      <w:pPr>
        <w:spacing w:line="520" w:lineRule="exact"/>
        <w:ind w:firstLine="883" w:firstLineChars="200"/>
        <w:jc w:val="center"/>
        <w:rPr>
          <w:rFonts w:hint="eastAsia" w:ascii="黑体" w:hAnsi="黑体" w:eastAsia="黑体"/>
          <w:b/>
          <w:sz w:val="44"/>
          <w:szCs w:val="44"/>
          <w:lang w:eastAsia="zh-CN"/>
        </w:rPr>
      </w:pPr>
      <w:r>
        <w:rPr>
          <w:rFonts w:hint="eastAsia" w:ascii="黑体" w:hAnsi="黑体" w:eastAsia="黑体"/>
          <w:b/>
          <w:sz w:val="44"/>
          <w:szCs w:val="44"/>
        </w:rPr>
        <w:t>年部门预算</w:t>
      </w:r>
      <w:r>
        <w:rPr>
          <w:rFonts w:hint="eastAsia" w:ascii="黑体" w:hAnsi="黑体" w:eastAsia="黑体"/>
          <w:b/>
          <w:sz w:val="44"/>
          <w:szCs w:val="44"/>
          <w:lang w:eastAsia="zh-CN"/>
        </w:rPr>
        <w:t>公开</w:t>
      </w:r>
    </w:p>
    <w:p>
      <w:pPr>
        <w:rPr>
          <w:rFonts w:hint="eastAsia"/>
        </w:rPr>
      </w:pPr>
    </w:p>
    <w:p>
      <w:pPr>
        <w:spacing w:line="600" w:lineRule="exact"/>
        <w:jc w:val="center"/>
        <w:rPr>
          <w:rFonts w:hint="eastAsia" w:ascii="黑体" w:eastAsia="黑体"/>
          <w:sz w:val="32"/>
          <w:szCs w:val="32"/>
        </w:rPr>
      </w:pPr>
      <w:r>
        <w:rPr>
          <w:rFonts w:hint="eastAsia" w:ascii="黑体" w:eastAsia="黑体"/>
          <w:sz w:val="32"/>
          <w:szCs w:val="32"/>
        </w:rPr>
        <w:t>目    录</w:t>
      </w:r>
    </w:p>
    <w:p>
      <w:pPr>
        <w:rPr>
          <w:rFonts w:hint="eastAsia"/>
        </w:rPr>
      </w:pP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第一部分  上饶市</w:t>
      </w:r>
      <w:r>
        <w:rPr>
          <w:rFonts w:hint="eastAsia" w:ascii="仿宋_GB2312" w:eastAsia="仿宋_GB2312"/>
          <w:b/>
          <w:sz w:val="32"/>
          <w:szCs w:val="30"/>
          <w:lang w:eastAsia="zh-CN"/>
        </w:rPr>
        <w:t>广丰区教育体育局</w:t>
      </w:r>
      <w:r>
        <w:rPr>
          <w:rFonts w:hint="eastAsia" w:ascii="仿宋_GB2312" w:eastAsia="仿宋_GB2312"/>
          <w:b/>
          <w:sz w:val="32"/>
          <w:szCs w:val="30"/>
        </w:rPr>
        <w:t>概况</w:t>
      </w:r>
    </w:p>
    <w:p>
      <w:pPr>
        <w:widowControl/>
        <w:spacing w:line="600" w:lineRule="exact"/>
        <w:ind w:firstLine="640"/>
        <w:jc w:val="left"/>
        <w:rPr>
          <w:rFonts w:hint="eastAsia"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hint="eastAsia"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二、部门机构设置及人员基本情况</w:t>
      </w:r>
    </w:p>
    <w:p>
      <w:pPr>
        <w:widowControl/>
        <w:spacing w:line="600" w:lineRule="exact"/>
        <w:ind w:firstLine="640"/>
        <w:jc w:val="left"/>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w:t>
      </w:r>
      <w:r>
        <w:rPr>
          <w:rFonts w:hint="eastAsia" w:ascii="仿宋_GB2312" w:eastAsia="仿宋_GB2312"/>
          <w:b/>
          <w:sz w:val="32"/>
          <w:szCs w:val="30"/>
          <w:lang w:eastAsia="zh-CN"/>
        </w:rPr>
        <w:t>广丰区教育体育局</w:t>
      </w:r>
      <w:r>
        <w:rPr>
          <w:rFonts w:hint="eastAsia" w:ascii="仿宋_GB2312" w:eastAsia="仿宋_GB2312"/>
          <w:b/>
          <w:sz w:val="32"/>
          <w:szCs w:val="30"/>
        </w:rPr>
        <w:t>2022年部门预算情况说明</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一、2022年部门预算收支情况说明</w:t>
      </w:r>
    </w:p>
    <w:p>
      <w:pPr>
        <w:widowControl/>
        <w:spacing w:line="60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2022年“三公”经费预算情况说明</w:t>
      </w: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第三部分  上饶市</w:t>
      </w:r>
      <w:r>
        <w:rPr>
          <w:rFonts w:hint="eastAsia" w:ascii="仿宋_GB2312" w:eastAsia="仿宋_GB2312"/>
          <w:b/>
          <w:sz w:val="32"/>
          <w:szCs w:val="30"/>
          <w:lang w:eastAsia="zh-CN"/>
        </w:rPr>
        <w:t>广丰区教育体育局</w:t>
      </w:r>
      <w:r>
        <w:rPr>
          <w:rFonts w:hint="eastAsia" w:ascii="仿宋_GB2312" w:eastAsia="仿宋_GB2312"/>
          <w:b/>
          <w:sz w:val="32"/>
          <w:szCs w:val="30"/>
        </w:rPr>
        <w:t>2022年部门预算表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一、《部门预算收支总表》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七、《一般公共预算“三公”经费支出表》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十、《部门整体支出绩效目标表》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十一、《重点项目绩效目标表》</w:t>
      </w:r>
    </w:p>
    <w:p>
      <w:pPr>
        <w:widowControl/>
        <w:spacing w:line="360" w:lineRule="auto"/>
        <w:jc w:val="center"/>
        <w:rPr>
          <w:rFonts w:hint="eastAsia" w:ascii="黑体" w:hAnsi="黑体" w:eastAsia="黑体" w:cs="Times New Roman"/>
          <w:sz w:val="32"/>
          <w:szCs w:val="32"/>
        </w:rPr>
      </w:pPr>
    </w:p>
    <w:p>
      <w:pPr>
        <w:widowControl/>
        <w:spacing w:line="580" w:lineRule="exact"/>
        <w:jc w:val="center"/>
        <w:rPr>
          <w:rFonts w:hint="eastAsia" w:ascii="仿宋_GB2312" w:eastAsia="仿宋_GB2312"/>
          <w:b/>
          <w:sz w:val="32"/>
          <w:szCs w:val="30"/>
        </w:rPr>
      </w:pPr>
      <w:r>
        <w:rPr>
          <w:rFonts w:hint="eastAsia" w:ascii="黑体" w:hAnsi="黑体" w:eastAsia="黑体" w:cs="Times New Roman"/>
          <w:sz w:val="32"/>
          <w:szCs w:val="32"/>
        </w:rPr>
        <w:t xml:space="preserve">第一部分  </w:t>
      </w:r>
      <w:r>
        <w:rPr>
          <w:rFonts w:hint="eastAsia" w:ascii="仿宋_GB2312" w:eastAsia="仿宋_GB2312"/>
          <w:b/>
          <w:sz w:val="32"/>
          <w:szCs w:val="30"/>
        </w:rPr>
        <w:t>上饶市</w:t>
      </w:r>
      <w:r>
        <w:rPr>
          <w:rFonts w:hint="eastAsia" w:ascii="仿宋_GB2312" w:eastAsia="仿宋_GB2312"/>
          <w:b/>
          <w:sz w:val="32"/>
          <w:szCs w:val="30"/>
          <w:lang w:eastAsia="zh-CN"/>
        </w:rPr>
        <w:t>广丰区教育体育局</w:t>
      </w:r>
      <w:r>
        <w:rPr>
          <w:rFonts w:hint="eastAsia" w:ascii="仿宋_GB2312" w:eastAsia="仿宋_GB2312"/>
          <w:b/>
          <w:sz w:val="32"/>
          <w:szCs w:val="30"/>
        </w:rPr>
        <w:t>概况</w:t>
      </w:r>
    </w:p>
    <w:p>
      <w:pPr>
        <w:widowControl/>
        <w:spacing w:line="360" w:lineRule="auto"/>
        <w:jc w:val="center"/>
        <w:rPr>
          <w:rFonts w:ascii="黑体" w:hAnsi="黑体" w:eastAsia="黑体" w:cs="Times New Roman"/>
          <w:sz w:val="32"/>
          <w:szCs w:val="32"/>
        </w:rPr>
      </w:pPr>
    </w:p>
    <w:p>
      <w:pPr>
        <w:spacing w:line="360" w:lineRule="auto"/>
        <w:ind w:firstLine="630" w:firstLineChars="196"/>
        <w:jc w:val="left"/>
        <w:rPr>
          <w:rFonts w:ascii="楷体" w:hAnsi="楷体" w:eastAsia="楷体" w:cs="Times New Roman"/>
          <w:b/>
          <w:sz w:val="32"/>
          <w:szCs w:val="32"/>
        </w:rPr>
      </w:pPr>
      <w:r>
        <w:rPr>
          <w:rFonts w:hint="eastAsia" w:ascii="楷体" w:hAnsi="楷体" w:eastAsia="楷体" w:cs="Times New Roman"/>
          <w:b/>
          <w:sz w:val="32"/>
          <w:szCs w:val="32"/>
        </w:rPr>
        <w:t>一、部门主要职能</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1、全面贯彻党和国家的教育、体育工作方针，落实国家有关教育、体育的法律、法规，研究起草全</w:t>
      </w:r>
      <w:r>
        <w:rPr>
          <w:rFonts w:hint="eastAsia" w:ascii="宋体" w:hAnsi="宋体"/>
          <w:color w:val="000000"/>
          <w:sz w:val="28"/>
          <w:szCs w:val="28"/>
        </w:rPr>
        <w:t>区</w:t>
      </w:r>
      <w:r>
        <w:rPr>
          <w:rFonts w:ascii="宋体" w:hAnsi="宋体"/>
          <w:color w:val="000000"/>
          <w:sz w:val="28"/>
          <w:szCs w:val="28"/>
        </w:rPr>
        <w:t>有关教育、体育的政策和规定，并负责实施。</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2、研究制订全</w:t>
      </w:r>
      <w:r>
        <w:rPr>
          <w:rFonts w:hint="eastAsia" w:ascii="宋体" w:hAnsi="宋体"/>
          <w:color w:val="000000"/>
          <w:sz w:val="28"/>
          <w:szCs w:val="28"/>
        </w:rPr>
        <w:t>区</w:t>
      </w:r>
      <w:r>
        <w:rPr>
          <w:rFonts w:ascii="宋体" w:hAnsi="宋体"/>
          <w:color w:val="000000"/>
          <w:sz w:val="28"/>
          <w:szCs w:val="28"/>
        </w:rPr>
        <w:t>教育事业、体育事业的发展规划及年度计划，并指导、协调、组织规划和计划的实施。</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3、统筹规划、协调指导教育体制和办学体制的综合改革。</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4、综合管理全</w:t>
      </w:r>
      <w:r>
        <w:rPr>
          <w:rFonts w:hint="eastAsia" w:ascii="宋体" w:hAnsi="宋体"/>
          <w:color w:val="000000"/>
          <w:sz w:val="28"/>
          <w:szCs w:val="28"/>
        </w:rPr>
        <w:t>区</w:t>
      </w:r>
      <w:r>
        <w:rPr>
          <w:rFonts w:ascii="宋体" w:hAnsi="宋体"/>
          <w:color w:val="000000"/>
          <w:sz w:val="28"/>
          <w:szCs w:val="28"/>
        </w:rPr>
        <w:t>基础教育（含学前教育）、职业教育、成人教育以及社会力量办学等工作，指导、协调各镇乡的教育工作，负责教育督导、检查与评估。</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5、负责全</w:t>
      </w:r>
      <w:r>
        <w:rPr>
          <w:rFonts w:hint="eastAsia" w:ascii="宋体" w:hAnsi="宋体"/>
          <w:color w:val="000000"/>
          <w:sz w:val="28"/>
          <w:szCs w:val="28"/>
        </w:rPr>
        <w:t>区</w:t>
      </w:r>
      <w:r>
        <w:rPr>
          <w:rFonts w:ascii="宋体" w:hAnsi="宋体"/>
          <w:color w:val="000000"/>
          <w:sz w:val="28"/>
          <w:szCs w:val="28"/>
        </w:rPr>
        <w:t>教育系统人员工资、教师资格认定、职称评审及人事管理、考核和调配工作，统筹规划并指导教师和教育行政干部队伍的建设工作，负责师范类毕业生的就业指导工作，管理教育内部人才市场，指导教育系统人事制度改革。</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6、提出财政预算内教育经费预算方案的建设，并会同</w:t>
      </w:r>
      <w:r>
        <w:rPr>
          <w:rFonts w:hint="eastAsia" w:ascii="宋体" w:hAnsi="宋体"/>
          <w:color w:val="000000"/>
          <w:sz w:val="28"/>
          <w:szCs w:val="28"/>
        </w:rPr>
        <w:t>区</w:t>
      </w:r>
      <w:r>
        <w:rPr>
          <w:rFonts w:ascii="宋体" w:hAnsi="宋体"/>
          <w:color w:val="000000"/>
          <w:sz w:val="28"/>
          <w:szCs w:val="28"/>
        </w:rPr>
        <w:t>有关部门草拟教育拨款、教育收费、教育经费筹措、教育基建投资等方面的政策规定，负责统筹管理县下达的教育经费以及其他款项的教育经费及经费使用情况的审计。</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7、指导全</w:t>
      </w:r>
      <w:r>
        <w:rPr>
          <w:rFonts w:hint="eastAsia" w:ascii="宋体" w:hAnsi="宋体"/>
          <w:color w:val="000000"/>
          <w:sz w:val="28"/>
          <w:szCs w:val="28"/>
        </w:rPr>
        <w:t>区</w:t>
      </w:r>
      <w:r>
        <w:rPr>
          <w:rFonts w:ascii="宋体" w:hAnsi="宋体"/>
          <w:color w:val="000000"/>
          <w:sz w:val="28"/>
          <w:szCs w:val="28"/>
        </w:rPr>
        <w:t>各级各类学校思想政治工作，精神文明建设工作、德育工作、教育教学工作、体卫工作，美育工作和国防教育等工作。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8、主管全</w:t>
      </w:r>
      <w:r>
        <w:rPr>
          <w:rFonts w:hint="eastAsia" w:ascii="宋体" w:hAnsi="宋体"/>
          <w:color w:val="000000"/>
          <w:sz w:val="28"/>
          <w:szCs w:val="28"/>
        </w:rPr>
        <w:t>区</w:t>
      </w:r>
      <w:r>
        <w:rPr>
          <w:rFonts w:ascii="宋体" w:hAnsi="宋体"/>
          <w:color w:val="000000"/>
          <w:sz w:val="28"/>
          <w:szCs w:val="28"/>
        </w:rPr>
        <w:t>中小（幼）学、特（含成职）教的招生和学籍管理工作，组织高考、中考及自学考试工作。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9、规划、指导并推动教育系统的教育科研工作。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10、管理全</w:t>
      </w:r>
      <w:r>
        <w:rPr>
          <w:rFonts w:hint="eastAsia" w:ascii="宋体" w:hAnsi="宋体"/>
          <w:color w:val="000000"/>
          <w:sz w:val="28"/>
          <w:szCs w:val="28"/>
        </w:rPr>
        <w:t>区</w:t>
      </w:r>
      <w:r>
        <w:rPr>
          <w:rFonts w:ascii="宋体" w:hAnsi="宋体"/>
          <w:color w:val="000000"/>
          <w:sz w:val="28"/>
          <w:szCs w:val="28"/>
        </w:rPr>
        <w:t>体育工作，指导监督和配合全县各部门、行业、社会团体积极开展体育活动，推进体育社会化和全民健身活动的开展。</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11、统一规划全</w:t>
      </w:r>
      <w:r>
        <w:rPr>
          <w:rFonts w:hint="eastAsia" w:ascii="宋体" w:hAnsi="宋体"/>
          <w:color w:val="000000"/>
          <w:sz w:val="28"/>
          <w:szCs w:val="28"/>
        </w:rPr>
        <w:t>区</w:t>
      </w:r>
      <w:r>
        <w:rPr>
          <w:rFonts w:ascii="宋体" w:hAnsi="宋体"/>
          <w:color w:val="000000"/>
          <w:sz w:val="28"/>
          <w:szCs w:val="28"/>
        </w:rPr>
        <w:t>运动项目的布局，指导优秀运动队伍的建设和业余训练工作。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2</w:t>
      </w:r>
      <w:r>
        <w:rPr>
          <w:rFonts w:ascii="宋体" w:hAnsi="宋体"/>
          <w:color w:val="000000"/>
          <w:sz w:val="28"/>
          <w:szCs w:val="28"/>
        </w:rPr>
        <w:t>、承办</w:t>
      </w:r>
      <w:r>
        <w:rPr>
          <w:rFonts w:hint="eastAsia" w:ascii="宋体" w:hAnsi="宋体"/>
          <w:color w:val="000000"/>
          <w:sz w:val="28"/>
          <w:szCs w:val="28"/>
        </w:rPr>
        <w:t>区</w:t>
      </w:r>
      <w:r>
        <w:rPr>
          <w:rFonts w:ascii="宋体" w:hAnsi="宋体"/>
          <w:color w:val="000000"/>
          <w:sz w:val="28"/>
          <w:szCs w:val="28"/>
        </w:rPr>
        <w:t>委、</w:t>
      </w:r>
      <w:r>
        <w:rPr>
          <w:rFonts w:hint="eastAsia" w:ascii="宋体" w:hAnsi="宋体"/>
          <w:color w:val="000000"/>
          <w:sz w:val="28"/>
          <w:szCs w:val="28"/>
        </w:rPr>
        <w:t>区</w:t>
      </w:r>
      <w:r>
        <w:rPr>
          <w:rFonts w:ascii="宋体" w:hAnsi="宋体"/>
          <w:color w:val="000000"/>
          <w:sz w:val="28"/>
          <w:szCs w:val="28"/>
        </w:rPr>
        <w:t>政府交办的其他事项。</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二、部门</w:t>
      </w:r>
      <w:r>
        <w:rPr>
          <w:rFonts w:hint="eastAsia" w:ascii="楷体" w:hAnsi="楷体" w:eastAsia="楷体"/>
          <w:b/>
          <w:sz w:val="32"/>
          <w:szCs w:val="32"/>
        </w:rPr>
        <w:t>基本情况</w:t>
      </w:r>
    </w:p>
    <w:p>
      <w:pPr>
        <w:ind w:firstLine="630"/>
        <w:jc w:val="left"/>
        <w:rPr>
          <w:rFonts w:ascii="宋体" w:hAnsi="宋体" w:eastAsia="宋体" w:cs="Times New Roman"/>
          <w:sz w:val="28"/>
          <w:szCs w:val="28"/>
          <w:highlight w:val="none"/>
        </w:rPr>
      </w:pPr>
      <w:r>
        <w:rPr>
          <w:rFonts w:hint="eastAsia" w:ascii="宋体" w:hAnsi="宋体" w:eastAsia="宋体"/>
          <w:sz w:val="28"/>
          <w:szCs w:val="28"/>
          <w:highlight w:val="none"/>
        </w:rPr>
        <w:t>广丰区</w:t>
      </w:r>
      <w:r>
        <w:rPr>
          <w:rFonts w:hint="eastAsia" w:ascii="宋体" w:hAnsi="宋体" w:eastAsia="宋体"/>
          <w:sz w:val="28"/>
          <w:szCs w:val="28"/>
          <w:highlight w:val="none"/>
          <w:lang w:eastAsia="zh-CN"/>
        </w:rPr>
        <w:t>教育体育局本级为</w:t>
      </w:r>
      <w:r>
        <w:rPr>
          <w:rFonts w:hint="eastAsia" w:ascii="宋体" w:hAnsi="宋体" w:eastAsia="宋体"/>
          <w:sz w:val="28"/>
          <w:szCs w:val="28"/>
          <w:highlight w:val="none"/>
        </w:rPr>
        <w:t>独立核算单位，在职人数</w:t>
      </w:r>
      <w:r>
        <w:rPr>
          <w:rFonts w:hint="eastAsia" w:ascii="宋体" w:hAnsi="宋体" w:eastAsia="宋体"/>
          <w:sz w:val="28"/>
          <w:szCs w:val="28"/>
          <w:highlight w:val="none"/>
          <w:lang w:val="en-US" w:eastAsia="zh-CN"/>
        </w:rPr>
        <w:t>104</w:t>
      </w:r>
      <w:r>
        <w:rPr>
          <w:rFonts w:hint="eastAsia" w:ascii="宋体" w:hAnsi="宋体" w:eastAsia="宋体"/>
          <w:sz w:val="28"/>
          <w:szCs w:val="28"/>
          <w:highlight w:val="none"/>
        </w:rPr>
        <w:t>人，</w:t>
      </w:r>
      <w:r>
        <w:rPr>
          <w:rFonts w:hint="eastAsia" w:ascii="宋体" w:hAnsi="宋体" w:eastAsia="宋体"/>
          <w:sz w:val="28"/>
          <w:szCs w:val="28"/>
          <w:highlight w:val="none"/>
          <w:lang w:eastAsia="zh-CN"/>
        </w:rPr>
        <w:t>社保退休人员</w:t>
      </w:r>
      <w:r>
        <w:rPr>
          <w:rFonts w:hint="eastAsia" w:ascii="宋体" w:hAnsi="宋体" w:eastAsia="宋体"/>
          <w:sz w:val="28"/>
          <w:szCs w:val="28"/>
          <w:highlight w:val="none"/>
          <w:lang w:val="en-US" w:eastAsia="zh-CN"/>
        </w:rPr>
        <w:t>59</w:t>
      </w:r>
      <w:r>
        <w:rPr>
          <w:rFonts w:hint="eastAsia" w:ascii="宋体" w:hAnsi="宋体" w:eastAsia="宋体"/>
          <w:sz w:val="28"/>
          <w:szCs w:val="28"/>
          <w:highlight w:val="none"/>
        </w:rPr>
        <w:t>人，遗属补助</w:t>
      </w:r>
      <w:r>
        <w:rPr>
          <w:rFonts w:hint="eastAsia" w:ascii="宋体" w:hAnsi="宋体" w:eastAsia="宋体"/>
          <w:sz w:val="28"/>
          <w:szCs w:val="28"/>
          <w:highlight w:val="none"/>
          <w:lang w:val="en-US" w:eastAsia="zh-CN"/>
        </w:rPr>
        <w:t>2</w:t>
      </w:r>
      <w:r>
        <w:rPr>
          <w:rFonts w:hint="eastAsia" w:ascii="宋体" w:hAnsi="宋体" w:eastAsia="宋体"/>
          <w:sz w:val="28"/>
          <w:szCs w:val="28"/>
          <w:highlight w:val="none"/>
        </w:rPr>
        <w:t>人。</w:t>
      </w:r>
    </w:p>
    <w:p>
      <w:pPr>
        <w:ind w:firstLine="660"/>
        <w:rPr>
          <w:rFonts w:ascii="黑体" w:hAnsi="黑体" w:eastAsia="黑体"/>
          <w:b/>
          <w:sz w:val="32"/>
          <w:szCs w:val="32"/>
        </w:rPr>
      </w:pPr>
      <w:r>
        <w:rPr>
          <w:rFonts w:hint="eastAsia" w:ascii="黑体" w:hAnsi="黑体" w:eastAsia="黑体"/>
          <w:b/>
          <w:sz w:val="32"/>
          <w:szCs w:val="32"/>
        </w:rPr>
        <w:t>第二部分  上饶市广丰区教育部门202</w:t>
      </w:r>
      <w:r>
        <w:rPr>
          <w:rFonts w:hint="eastAsia" w:ascii="黑体" w:hAnsi="黑体" w:eastAsia="黑体"/>
          <w:b/>
          <w:sz w:val="32"/>
          <w:szCs w:val="32"/>
          <w:lang w:val="en-US" w:eastAsia="zh-CN"/>
        </w:rPr>
        <w:t>2</w:t>
      </w:r>
      <w:r>
        <w:rPr>
          <w:rFonts w:hint="eastAsia" w:ascii="黑体" w:hAnsi="黑体" w:eastAsia="黑体"/>
          <w:b/>
          <w:sz w:val="32"/>
          <w:szCs w:val="32"/>
        </w:rPr>
        <w:t>年部门预算情况说明</w:t>
      </w:r>
    </w:p>
    <w:p>
      <w:pPr>
        <w:ind w:firstLine="660"/>
        <w:rPr>
          <w:rFonts w:ascii="楷体" w:hAnsi="楷体" w:eastAsia="楷体"/>
          <w:b/>
          <w:sz w:val="32"/>
          <w:szCs w:val="32"/>
        </w:rPr>
      </w:pPr>
      <w:r>
        <w:rPr>
          <w:rFonts w:hint="eastAsia" w:ascii="楷体" w:hAnsi="楷体" w:eastAsia="楷体"/>
          <w:b/>
          <w:sz w:val="32"/>
          <w:szCs w:val="32"/>
        </w:rPr>
        <w:t>一、202</w:t>
      </w:r>
      <w:r>
        <w:rPr>
          <w:rFonts w:hint="eastAsia" w:ascii="楷体" w:hAnsi="楷体" w:eastAsia="楷体"/>
          <w:b/>
          <w:sz w:val="32"/>
          <w:szCs w:val="32"/>
          <w:lang w:val="en-US" w:eastAsia="zh-CN"/>
        </w:rPr>
        <w:t>2</w:t>
      </w:r>
      <w:r>
        <w:rPr>
          <w:rFonts w:hint="eastAsia" w:ascii="楷体" w:hAnsi="楷体" w:eastAsia="楷体"/>
          <w:b/>
          <w:sz w:val="32"/>
          <w:szCs w:val="32"/>
        </w:rPr>
        <w:t>年部门预算收支情况说明</w:t>
      </w:r>
    </w:p>
    <w:p>
      <w:pPr>
        <w:ind w:firstLine="660"/>
        <w:rPr>
          <w:sz w:val="28"/>
          <w:szCs w:val="28"/>
        </w:rPr>
      </w:pPr>
      <w:r>
        <w:rPr>
          <w:rFonts w:hint="eastAsia"/>
          <w:sz w:val="28"/>
          <w:szCs w:val="28"/>
        </w:rPr>
        <w:t>（一）收入预算情况</w:t>
      </w:r>
    </w:p>
    <w:p>
      <w:pPr>
        <w:ind w:firstLine="660"/>
        <w:rPr>
          <w:rFonts w:hint="default"/>
          <w:color w:val="auto"/>
          <w:sz w:val="28"/>
          <w:szCs w:val="28"/>
          <w:lang w:val="en-US" w:eastAsia="zh-CN"/>
        </w:rPr>
      </w:pPr>
      <w:r>
        <w:rPr>
          <w:rFonts w:hint="eastAsia"/>
          <w:color w:val="auto"/>
          <w:sz w:val="28"/>
          <w:szCs w:val="28"/>
        </w:rPr>
        <w:t>全区教育系统本年</w:t>
      </w:r>
      <w:r>
        <w:rPr>
          <w:rFonts w:hint="eastAsia"/>
          <w:color w:val="auto"/>
          <w:sz w:val="28"/>
          <w:szCs w:val="28"/>
          <w:lang w:eastAsia="zh-CN"/>
        </w:rPr>
        <w:t>预算</w:t>
      </w:r>
      <w:r>
        <w:rPr>
          <w:rFonts w:hint="eastAsia"/>
          <w:color w:val="auto"/>
          <w:sz w:val="28"/>
          <w:szCs w:val="28"/>
        </w:rPr>
        <w:t>收入总计</w:t>
      </w:r>
      <w:r>
        <w:rPr>
          <w:rFonts w:hint="eastAsia"/>
          <w:color w:val="auto"/>
          <w:sz w:val="28"/>
          <w:szCs w:val="28"/>
          <w:lang w:val="en-US" w:eastAsia="zh-CN"/>
        </w:rPr>
        <w:t>6559.78</w:t>
      </w:r>
      <w:r>
        <w:rPr>
          <w:rFonts w:hint="eastAsia"/>
          <w:color w:val="auto"/>
          <w:sz w:val="28"/>
          <w:szCs w:val="28"/>
        </w:rPr>
        <w:t>万元，其中：财政拨款收入</w:t>
      </w:r>
      <w:r>
        <w:rPr>
          <w:rFonts w:hint="eastAsia"/>
          <w:color w:val="auto"/>
          <w:sz w:val="28"/>
          <w:szCs w:val="28"/>
          <w:lang w:val="en-US" w:eastAsia="zh-CN"/>
        </w:rPr>
        <w:t>2124.13</w:t>
      </w:r>
      <w:r>
        <w:rPr>
          <w:rFonts w:hint="eastAsia"/>
          <w:color w:val="auto"/>
          <w:sz w:val="28"/>
          <w:szCs w:val="28"/>
        </w:rPr>
        <w:t>万元，</w:t>
      </w:r>
      <w:r>
        <w:rPr>
          <w:rFonts w:hint="eastAsia"/>
          <w:color w:val="auto"/>
          <w:sz w:val="28"/>
          <w:szCs w:val="28"/>
          <w:lang w:eastAsia="zh-CN"/>
        </w:rPr>
        <w:t>较上年增加</w:t>
      </w:r>
      <w:r>
        <w:rPr>
          <w:rFonts w:hint="eastAsia"/>
          <w:color w:val="auto"/>
          <w:sz w:val="28"/>
          <w:szCs w:val="28"/>
          <w:lang w:val="en-US" w:eastAsia="zh-CN"/>
        </w:rPr>
        <w:t>70.28%，原因为人员工资晋升、预算一体化口径变化。</w:t>
      </w:r>
      <w:r>
        <w:rPr>
          <w:rFonts w:hint="eastAsia"/>
          <w:color w:val="auto"/>
          <w:sz w:val="28"/>
          <w:szCs w:val="28"/>
        </w:rPr>
        <w:t>上级补助收入</w:t>
      </w:r>
      <w:r>
        <w:rPr>
          <w:rFonts w:hint="eastAsia"/>
          <w:color w:val="auto"/>
          <w:sz w:val="28"/>
          <w:szCs w:val="28"/>
          <w:lang w:val="en-US" w:eastAsia="zh-CN"/>
        </w:rPr>
        <w:t>800</w:t>
      </w:r>
      <w:r>
        <w:rPr>
          <w:rFonts w:hint="eastAsia"/>
          <w:color w:val="auto"/>
          <w:sz w:val="28"/>
          <w:szCs w:val="28"/>
        </w:rPr>
        <w:t>万元</w:t>
      </w:r>
      <w:r>
        <w:rPr>
          <w:rFonts w:hint="eastAsia"/>
          <w:color w:val="auto"/>
          <w:sz w:val="28"/>
          <w:szCs w:val="28"/>
          <w:lang w:eastAsia="zh-CN"/>
        </w:rPr>
        <w:t>，较上年增加</w:t>
      </w:r>
      <w:r>
        <w:rPr>
          <w:rFonts w:hint="eastAsia"/>
          <w:color w:val="auto"/>
          <w:sz w:val="28"/>
          <w:szCs w:val="28"/>
          <w:lang w:val="en-US" w:eastAsia="zh-CN"/>
        </w:rPr>
        <w:t>300%，原因为预算一体化后口径变化</w:t>
      </w:r>
      <w:r>
        <w:rPr>
          <w:rFonts w:hint="eastAsia"/>
          <w:color w:val="auto"/>
          <w:sz w:val="28"/>
          <w:szCs w:val="28"/>
        </w:rPr>
        <w:t>，上年结转</w:t>
      </w:r>
      <w:r>
        <w:rPr>
          <w:rFonts w:hint="eastAsia"/>
          <w:color w:val="auto"/>
          <w:sz w:val="28"/>
          <w:szCs w:val="28"/>
          <w:lang w:val="en-US" w:eastAsia="zh-CN"/>
        </w:rPr>
        <w:t>3635.65</w:t>
      </w:r>
      <w:r>
        <w:rPr>
          <w:rFonts w:hint="eastAsia"/>
          <w:color w:val="auto"/>
          <w:sz w:val="28"/>
          <w:szCs w:val="28"/>
        </w:rPr>
        <w:t>万元。</w:t>
      </w:r>
      <w:r>
        <w:rPr>
          <w:rFonts w:hint="eastAsia"/>
          <w:color w:val="auto"/>
          <w:sz w:val="28"/>
          <w:szCs w:val="28"/>
          <w:lang w:eastAsia="zh-CN"/>
        </w:rPr>
        <w:t>【说明：按财政局要求本年度所有外单位（含上级主管单位）拨入、单位自收自支、个人</w:t>
      </w:r>
      <w:r>
        <w:rPr>
          <w:rFonts w:hint="eastAsia"/>
          <w:color w:val="auto"/>
          <w:sz w:val="28"/>
          <w:szCs w:val="28"/>
          <w:lang w:val="en-US" w:eastAsia="zh-CN"/>
        </w:rPr>
        <w:t>(企业）捐赠</w:t>
      </w:r>
      <w:r>
        <w:rPr>
          <w:rFonts w:hint="eastAsia"/>
          <w:color w:val="auto"/>
          <w:sz w:val="28"/>
          <w:szCs w:val="28"/>
          <w:lang w:eastAsia="zh-CN"/>
        </w:rPr>
        <w:t>等代管性质的资金必须纳入年初预算。因无法预测金额、拨入股室，在预算一体化系统中</w:t>
      </w:r>
      <w:r>
        <w:rPr>
          <w:rFonts w:hint="eastAsia"/>
          <w:color w:val="auto"/>
          <w:sz w:val="28"/>
          <w:szCs w:val="28"/>
          <w:lang w:val="en-US" w:eastAsia="zh-CN"/>
        </w:rPr>
        <w:t>建多个特定目标类项目库作临时拨款用库，资金归集到其他收入，共计5463万元。】</w:t>
      </w:r>
    </w:p>
    <w:p>
      <w:pPr>
        <w:ind w:firstLine="660"/>
        <w:rPr>
          <w:sz w:val="28"/>
          <w:szCs w:val="28"/>
        </w:rPr>
      </w:pPr>
      <w:r>
        <w:rPr>
          <w:rFonts w:hint="eastAsia"/>
          <w:sz w:val="28"/>
          <w:szCs w:val="28"/>
        </w:rPr>
        <w:t>（二）支出预算情况</w:t>
      </w:r>
    </w:p>
    <w:p>
      <w:pPr>
        <w:ind w:firstLine="660"/>
        <w:rPr>
          <w:rFonts w:hint="eastAsia"/>
          <w:sz w:val="28"/>
          <w:szCs w:val="28"/>
        </w:rPr>
      </w:pPr>
      <w:r>
        <w:rPr>
          <w:rFonts w:hint="eastAsia"/>
          <w:sz w:val="28"/>
          <w:szCs w:val="28"/>
        </w:rPr>
        <w:t>202</w:t>
      </w:r>
      <w:r>
        <w:rPr>
          <w:rFonts w:hint="eastAsia"/>
          <w:sz w:val="28"/>
          <w:szCs w:val="28"/>
          <w:lang w:val="en-US" w:eastAsia="zh-CN"/>
        </w:rPr>
        <w:t>2</w:t>
      </w:r>
      <w:r>
        <w:rPr>
          <w:rFonts w:hint="eastAsia"/>
          <w:sz w:val="28"/>
          <w:szCs w:val="28"/>
        </w:rPr>
        <w:t>年教育支出合计：</w:t>
      </w:r>
      <w:r>
        <w:rPr>
          <w:rFonts w:hint="eastAsia"/>
          <w:color w:val="auto"/>
          <w:sz w:val="28"/>
          <w:szCs w:val="28"/>
          <w:lang w:val="en-US" w:eastAsia="zh-CN"/>
        </w:rPr>
        <w:t>6559.78</w:t>
      </w:r>
      <w:r>
        <w:rPr>
          <w:rFonts w:hint="eastAsia"/>
          <w:sz w:val="28"/>
          <w:szCs w:val="28"/>
        </w:rPr>
        <w:t>万元，其中：基本支出</w:t>
      </w:r>
      <w:r>
        <w:rPr>
          <w:rFonts w:hint="eastAsia"/>
          <w:sz w:val="28"/>
          <w:szCs w:val="28"/>
          <w:lang w:val="en-US" w:eastAsia="zh-CN"/>
        </w:rPr>
        <w:t>3533.18</w:t>
      </w:r>
      <w:r>
        <w:rPr>
          <w:rFonts w:hint="eastAsia"/>
          <w:sz w:val="28"/>
          <w:szCs w:val="28"/>
        </w:rPr>
        <w:t>万元，项目支出</w:t>
      </w:r>
      <w:r>
        <w:rPr>
          <w:rFonts w:hint="eastAsia"/>
          <w:sz w:val="28"/>
          <w:szCs w:val="28"/>
          <w:lang w:val="en-US" w:eastAsia="zh-CN"/>
        </w:rPr>
        <w:t>3026.6</w:t>
      </w:r>
      <w:r>
        <w:rPr>
          <w:rFonts w:hint="eastAsia"/>
          <w:sz w:val="28"/>
          <w:szCs w:val="28"/>
        </w:rPr>
        <w:t>万元。</w:t>
      </w:r>
    </w:p>
    <w:p>
      <w:pPr>
        <w:ind w:firstLine="660"/>
        <w:rPr>
          <w:sz w:val="28"/>
          <w:szCs w:val="28"/>
        </w:rPr>
      </w:pPr>
      <w:r>
        <w:rPr>
          <w:rFonts w:hint="eastAsia"/>
          <w:sz w:val="28"/>
          <w:szCs w:val="28"/>
        </w:rPr>
        <w:t>（三）财政拨款支出情况</w:t>
      </w:r>
    </w:p>
    <w:p>
      <w:pPr>
        <w:ind w:firstLine="660"/>
        <w:rPr>
          <w:rFonts w:hint="eastAsia"/>
          <w:color w:val="auto"/>
          <w:sz w:val="28"/>
          <w:szCs w:val="28"/>
          <w:lang w:val="en-US" w:eastAsia="zh-CN"/>
        </w:rPr>
      </w:pPr>
      <w:r>
        <w:rPr>
          <w:rFonts w:hint="eastAsia"/>
          <w:sz w:val="28"/>
          <w:szCs w:val="28"/>
        </w:rPr>
        <w:t>202</w:t>
      </w:r>
      <w:r>
        <w:rPr>
          <w:rFonts w:hint="eastAsia"/>
          <w:sz w:val="28"/>
          <w:szCs w:val="28"/>
          <w:lang w:val="en-US" w:eastAsia="zh-CN"/>
        </w:rPr>
        <w:t>2</w:t>
      </w:r>
      <w:r>
        <w:rPr>
          <w:rFonts w:hint="eastAsia"/>
          <w:sz w:val="28"/>
          <w:szCs w:val="28"/>
        </w:rPr>
        <w:t>年教育财政拨款支出</w:t>
      </w:r>
      <w:r>
        <w:rPr>
          <w:rFonts w:hint="eastAsia"/>
          <w:sz w:val="28"/>
          <w:szCs w:val="28"/>
          <w:lang w:val="en-US" w:eastAsia="zh-CN"/>
        </w:rPr>
        <w:t>2124.13</w:t>
      </w:r>
      <w:r>
        <w:rPr>
          <w:rFonts w:hint="eastAsia"/>
          <w:sz w:val="28"/>
          <w:szCs w:val="28"/>
        </w:rPr>
        <w:t>万元，其中基本支出</w:t>
      </w:r>
      <w:r>
        <w:rPr>
          <w:rFonts w:hint="eastAsia"/>
          <w:sz w:val="28"/>
          <w:szCs w:val="28"/>
          <w:lang w:val="en-US" w:eastAsia="zh-CN"/>
        </w:rPr>
        <w:t>1253.81</w:t>
      </w:r>
      <w:r>
        <w:rPr>
          <w:rFonts w:hint="eastAsia"/>
          <w:sz w:val="28"/>
          <w:szCs w:val="28"/>
        </w:rPr>
        <w:t>万元</w:t>
      </w:r>
      <w:r>
        <w:rPr>
          <w:rFonts w:hint="eastAsia"/>
          <w:sz w:val="28"/>
          <w:szCs w:val="28"/>
          <w:lang w:eastAsia="zh-CN"/>
        </w:rPr>
        <w:t>，项目支出</w:t>
      </w:r>
      <w:r>
        <w:rPr>
          <w:rFonts w:hint="eastAsia"/>
          <w:sz w:val="28"/>
          <w:szCs w:val="28"/>
          <w:lang w:val="en-US" w:eastAsia="zh-CN"/>
        </w:rPr>
        <w:t>870.33</w:t>
      </w:r>
      <w:r>
        <w:rPr>
          <w:rFonts w:hint="eastAsia"/>
          <w:sz w:val="28"/>
          <w:szCs w:val="28"/>
        </w:rPr>
        <w:t>。</w:t>
      </w:r>
      <w:r>
        <w:rPr>
          <w:rFonts w:hint="eastAsia"/>
          <w:sz w:val="28"/>
          <w:szCs w:val="28"/>
          <w:lang w:eastAsia="zh-CN"/>
        </w:rPr>
        <w:t>基本支出</w:t>
      </w:r>
      <w:r>
        <w:rPr>
          <w:rFonts w:hint="eastAsia"/>
          <w:sz w:val="28"/>
          <w:szCs w:val="28"/>
        </w:rPr>
        <w:t>较上年预算</w:t>
      </w:r>
      <w:r>
        <w:rPr>
          <w:rFonts w:hint="eastAsia"/>
          <w:sz w:val="28"/>
          <w:szCs w:val="28"/>
          <w:lang w:eastAsia="zh-CN"/>
        </w:rPr>
        <w:t>增加</w:t>
      </w:r>
      <w:r>
        <w:rPr>
          <w:rFonts w:hint="eastAsia"/>
          <w:sz w:val="28"/>
          <w:szCs w:val="28"/>
          <w:lang w:val="en-US" w:eastAsia="zh-CN"/>
        </w:rPr>
        <w:t>0.5</w:t>
      </w:r>
      <w:r>
        <w:rPr>
          <w:rFonts w:hint="eastAsia"/>
          <w:sz w:val="28"/>
          <w:szCs w:val="28"/>
        </w:rPr>
        <w:t>%，</w:t>
      </w:r>
      <w:r>
        <w:rPr>
          <w:rFonts w:hint="eastAsia"/>
          <w:color w:val="auto"/>
          <w:sz w:val="28"/>
          <w:szCs w:val="28"/>
          <w:lang w:val="en-US" w:eastAsia="zh-CN"/>
        </w:rPr>
        <w:t>原因为人员工资晋升等因素。</w:t>
      </w:r>
    </w:p>
    <w:p>
      <w:pPr>
        <w:ind w:firstLine="560" w:firstLineChars="200"/>
        <w:rPr>
          <w:sz w:val="28"/>
          <w:szCs w:val="28"/>
        </w:rPr>
      </w:pPr>
      <w:r>
        <w:rPr>
          <w:rFonts w:hint="eastAsia"/>
          <w:sz w:val="28"/>
          <w:szCs w:val="28"/>
        </w:rPr>
        <w:t>（四）政府性基金情况</w:t>
      </w:r>
    </w:p>
    <w:p>
      <w:pPr>
        <w:ind w:firstLine="660"/>
        <w:rPr>
          <w:rFonts w:hint="eastAsia"/>
          <w:sz w:val="28"/>
          <w:szCs w:val="28"/>
        </w:rPr>
      </w:pPr>
      <w:r>
        <w:rPr>
          <w:rFonts w:hint="eastAsia"/>
          <w:sz w:val="28"/>
          <w:szCs w:val="28"/>
        </w:rPr>
        <w:t>没有使用政府性预算拨款安排的支出。</w:t>
      </w:r>
    </w:p>
    <w:p>
      <w:pPr>
        <w:ind w:firstLine="660"/>
        <w:rPr>
          <w:sz w:val="28"/>
          <w:szCs w:val="28"/>
        </w:rPr>
      </w:pPr>
      <w:r>
        <w:rPr>
          <w:rFonts w:hint="eastAsia"/>
          <w:sz w:val="28"/>
          <w:szCs w:val="28"/>
        </w:rPr>
        <w:t>（五）机关运行经费等重要事项的说明</w:t>
      </w:r>
    </w:p>
    <w:p>
      <w:pPr>
        <w:ind w:firstLine="660"/>
        <w:rPr>
          <w:rFonts w:hint="eastAsia"/>
          <w:sz w:val="28"/>
          <w:szCs w:val="28"/>
        </w:rPr>
      </w:pPr>
      <w:r>
        <w:rPr>
          <w:rFonts w:hint="eastAsia"/>
          <w:sz w:val="28"/>
          <w:szCs w:val="28"/>
        </w:rPr>
        <w:t>202</w:t>
      </w:r>
      <w:r>
        <w:rPr>
          <w:rFonts w:hint="eastAsia"/>
          <w:sz w:val="28"/>
          <w:szCs w:val="28"/>
          <w:lang w:val="en-US" w:eastAsia="zh-CN"/>
        </w:rPr>
        <w:t>2</w:t>
      </w:r>
      <w:r>
        <w:rPr>
          <w:rFonts w:hint="eastAsia"/>
          <w:sz w:val="28"/>
          <w:szCs w:val="28"/>
        </w:rPr>
        <w:t>年部门公用经费总额</w:t>
      </w:r>
      <w:r>
        <w:rPr>
          <w:rFonts w:hint="eastAsia"/>
          <w:sz w:val="28"/>
          <w:szCs w:val="28"/>
          <w:lang w:val="en-US" w:eastAsia="zh-CN"/>
        </w:rPr>
        <w:t>103.42</w:t>
      </w:r>
      <w:r>
        <w:rPr>
          <w:rFonts w:hint="eastAsia"/>
          <w:sz w:val="28"/>
          <w:szCs w:val="28"/>
        </w:rPr>
        <w:t>万元，其中办公费</w:t>
      </w:r>
      <w:r>
        <w:rPr>
          <w:rFonts w:hint="eastAsia"/>
          <w:sz w:val="28"/>
          <w:szCs w:val="28"/>
          <w:lang w:val="en-US" w:eastAsia="zh-CN"/>
        </w:rPr>
        <w:t>8.54</w:t>
      </w:r>
      <w:r>
        <w:rPr>
          <w:rFonts w:hint="eastAsia"/>
          <w:sz w:val="28"/>
          <w:szCs w:val="28"/>
        </w:rPr>
        <w:t>万元、水电费</w:t>
      </w:r>
      <w:r>
        <w:rPr>
          <w:rFonts w:hint="eastAsia"/>
          <w:sz w:val="28"/>
          <w:szCs w:val="28"/>
          <w:lang w:val="en-US" w:eastAsia="zh-CN"/>
        </w:rPr>
        <w:t>14</w:t>
      </w:r>
      <w:r>
        <w:rPr>
          <w:rFonts w:hint="eastAsia"/>
          <w:sz w:val="28"/>
          <w:szCs w:val="28"/>
        </w:rPr>
        <w:t>万元</w:t>
      </w:r>
      <w:r>
        <w:rPr>
          <w:rFonts w:hint="eastAsia"/>
          <w:sz w:val="28"/>
          <w:szCs w:val="28"/>
          <w:lang w:val="en-US" w:eastAsia="zh-CN"/>
        </w:rPr>
        <w:t>、</w:t>
      </w:r>
      <w:r>
        <w:rPr>
          <w:rFonts w:hint="eastAsia"/>
          <w:sz w:val="28"/>
          <w:szCs w:val="28"/>
        </w:rPr>
        <w:t>邮电费</w:t>
      </w:r>
      <w:r>
        <w:rPr>
          <w:rFonts w:hint="eastAsia"/>
          <w:sz w:val="28"/>
          <w:szCs w:val="28"/>
          <w:lang w:val="en-US" w:eastAsia="zh-CN"/>
        </w:rPr>
        <w:t>2</w:t>
      </w:r>
      <w:r>
        <w:rPr>
          <w:rFonts w:hint="eastAsia"/>
          <w:sz w:val="28"/>
          <w:szCs w:val="28"/>
        </w:rPr>
        <w:t>万元、差旅费</w:t>
      </w:r>
      <w:r>
        <w:rPr>
          <w:rFonts w:hint="eastAsia"/>
          <w:sz w:val="28"/>
          <w:szCs w:val="28"/>
          <w:lang w:val="en-US" w:eastAsia="zh-CN"/>
        </w:rPr>
        <w:t>10</w:t>
      </w:r>
      <w:r>
        <w:rPr>
          <w:rFonts w:hint="eastAsia"/>
          <w:sz w:val="28"/>
          <w:szCs w:val="28"/>
        </w:rPr>
        <w:t>万元、</w:t>
      </w:r>
      <w:r>
        <w:rPr>
          <w:rFonts w:hint="eastAsia"/>
          <w:sz w:val="28"/>
          <w:szCs w:val="28"/>
          <w:lang w:eastAsia="zh-CN"/>
        </w:rPr>
        <w:t>物业管理费</w:t>
      </w:r>
      <w:r>
        <w:rPr>
          <w:rFonts w:hint="eastAsia"/>
          <w:sz w:val="28"/>
          <w:szCs w:val="28"/>
          <w:lang w:val="en-US" w:eastAsia="zh-CN"/>
        </w:rPr>
        <w:t>20万元、</w:t>
      </w:r>
      <w:r>
        <w:rPr>
          <w:rFonts w:hint="eastAsia"/>
          <w:sz w:val="28"/>
          <w:szCs w:val="28"/>
        </w:rPr>
        <w:t>维修（护）费</w:t>
      </w:r>
      <w:r>
        <w:rPr>
          <w:rFonts w:hint="eastAsia"/>
          <w:sz w:val="28"/>
          <w:szCs w:val="28"/>
          <w:lang w:val="en-US" w:eastAsia="zh-CN"/>
        </w:rPr>
        <w:t>15</w:t>
      </w:r>
      <w:r>
        <w:rPr>
          <w:rFonts w:hint="eastAsia"/>
          <w:sz w:val="28"/>
          <w:szCs w:val="28"/>
        </w:rPr>
        <w:t>万元、会议费</w:t>
      </w:r>
      <w:r>
        <w:rPr>
          <w:rFonts w:hint="eastAsia"/>
          <w:sz w:val="28"/>
          <w:szCs w:val="28"/>
          <w:lang w:val="en-US" w:eastAsia="zh-CN"/>
        </w:rPr>
        <w:t>2</w:t>
      </w:r>
      <w:r>
        <w:rPr>
          <w:rFonts w:hint="eastAsia"/>
          <w:sz w:val="28"/>
          <w:szCs w:val="28"/>
        </w:rPr>
        <w:t>万元、公务接待费</w:t>
      </w:r>
      <w:r>
        <w:rPr>
          <w:rFonts w:hint="eastAsia"/>
          <w:sz w:val="28"/>
          <w:szCs w:val="28"/>
          <w:lang w:val="en-US" w:eastAsia="zh-CN"/>
        </w:rPr>
        <w:t>12</w:t>
      </w:r>
      <w:r>
        <w:rPr>
          <w:rFonts w:hint="eastAsia"/>
          <w:sz w:val="28"/>
          <w:szCs w:val="28"/>
        </w:rPr>
        <w:t>万元</w:t>
      </w:r>
      <w:r>
        <w:rPr>
          <w:rFonts w:hint="eastAsia"/>
          <w:sz w:val="28"/>
          <w:szCs w:val="28"/>
          <w:lang w:eastAsia="zh-CN"/>
        </w:rPr>
        <w:t>（其他经费列支，未按排在一般公共预算经费中支出</w:t>
      </w:r>
      <w:bookmarkStart w:id="0" w:name="_GoBack"/>
      <w:bookmarkEnd w:id="0"/>
      <w:r>
        <w:rPr>
          <w:rFonts w:hint="eastAsia"/>
          <w:sz w:val="28"/>
          <w:szCs w:val="28"/>
          <w:lang w:eastAsia="zh-CN"/>
        </w:rPr>
        <w:t>）</w:t>
      </w:r>
      <w:r>
        <w:rPr>
          <w:rFonts w:hint="eastAsia"/>
          <w:sz w:val="28"/>
          <w:szCs w:val="28"/>
        </w:rPr>
        <w:t>、培训费</w:t>
      </w:r>
      <w:r>
        <w:rPr>
          <w:rFonts w:hint="eastAsia"/>
          <w:sz w:val="28"/>
          <w:szCs w:val="28"/>
          <w:lang w:val="en-US" w:eastAsia="zh-CN"/>
        </w:rPr>
        <w:t>2</w:t>
      </w:r>
      <w:r>
        <w:rPr>
          <w:rFonts w:hint="eastAsia"/>
          <w:sz w:val="28"/>
          <w:szCs w:val="28"/>
        </w:rPr>
        <w:t>万元。本年度公用支出较上年有小幅度的</w:t>
      </w:r>
      <w:r>
        <w:rPr>
          <w:rFonts w:hint="eastAsia"/>
          <w:sz w:val="28"/>
          <w:szCs w:val="28"/>
          <w:lang w:eastAsia="zh-CN"/>
        </w:rPr>
        <w:t>减少</w:t>
      </w:r>
      <w:r>
        <w:rPr>
          <w:rFonts w:hint="eastAsia"/>
          <w:sz w:val="28"/>
          <w:szCs w:val="28"/>
        </w:rPr>
        <w:t>，</w:t>
      </w:r>
      <w:r>
        <w:rPr>
          <w:rFonts w:hint="eastAsia"/>
          <w:sz w:val="28"/>
          <w:szCs w:val="28"/>
          <w:lang w:eastAsia="zh-CN"/>
        </w:rPr>
        <w:t>按财政要求压缩一般性支出</w:t>
      </w:r>
      <w:r>
        <w:rPr>
          <w:rFonts w:hint="eastAsia"/>
          <w:sz w:val="28"/>
          <w:szCs w:val="28"/>
        </w:rPr>
        <w:t>。</w:t>
      </w:r>
    </w:p>
    <w:p>
      <w:pPr>
        <w:numPr>
          <w:ilvl w:val="0"/>
          <w:numId w:val="1"/>
        </w:numPr>
        <w:ind w:firstLine="660"/>
        <w:rPr>
          <w:rFonts w:hint="eastAsia"/>
          <w:sz w:val="28"/>
          <w:szCs w:val="28"/>
          <w:lang w:eastAsia="zh-CN"/>
        </w:rPr>
      </w:pPr>
      <w:r>
        <w:rPr>
          <w:rFonts w:hint="eastAsia"/>
          <w:sz w:val="28"/>
          <w:szCs w:val="28"/>
          <w:lang w:eastAsia="zh-CN"/>
        </w:rPr>
        <w:t>政府采购情况</w:t>
      </w:r>
    </w:p>
    <w:p>
      <w:pPr>
        <w:numPr>
          <w:ilvl w:val="0"/>
          <w:numId w:val="1"/>
        </w:numPr>
        <w:ind w:firstLine="660"/>
        <w:rPr>
          <w:rFonts w:hint="eastAsia"/>
          <w:sz w:val="28"/>
          <w:szCs w:val="28"/>
          <w:lang w:eastAsia="zh-CN"/>
        </w:rPr>
      </w:pPr>
      <w:r>
        <w:rPr>
          <w:rFonts w:hint="eastAsia"/>
          <w:sz w:val="28"/>
          <w:szCs w:val="28"/>
          <w:lang w:val="en-US" w:eastAsia="zh-CN"/>
        </w:rPr>
        <w:t>2022年政府采购总额为1360.9万元，较上年增加65.97%，根据预算一体化口径及部分学校的教学设备陈旧需更新的实际，本年度加大采购力度。</w:t>
      </w:r>
    </w:p>
    <w:p>
      <w:pPr>
        <w:ind w:firstLine="660"/>
        <w:rPr>
          <w:rFonts w:ascii="楷体" w:hAnsi="楷体" w:eastAsia="楷体"/>
          <w:b/>
          <w:sz w:val="32"/>
          <w:szCs w:val="32"/>
        </w:rPr>
      </w:pPr>
      <w:r>
        <w:rPr>
          <w:rFonts w:hint="eastAsia" w:ascii="楷体" w:hAnsi="楷体" w:eastAsia="楷体"/>
          <w:b/>
          <w:sz w:val="32"/>
          <w:szCs w:val="32"/>
        </w:rPr>
        <w:t>二、202</w:t>
      </w:r>
      <w:r>
        <w:rPr>
          <w:rFonts w:hint="eastAsia" w:ascii="楷体" w:hAnsi="楷体" w:eastAsia="楷体"/>
          <w:b/>
          <w:sz w:val="32"/>
          <w:szCs w:val="32"/>
          <w:lang w:val="en-US" w:eastAsia="zh-CN"/>
        </w:rPr>
        <w:t>2</w:t>
      </w:r>
      <w:r>
        <w:rPr>
          <w:rFonts w:hint="eastAsia" w:ascii="楷体" w:hAnsi="楷体" w:eastAsia="楷体"/>
          <w:b/>
          <w:sz w:val="32"/>
          <w:szCs w:val="32"/>
        </w:rPr>
        <w:t>年“三公”经费预算情况说明</w:t>
      </w:r>
    </w:p>
    <w:p>
      <w:pPr>
        <w:ind w:firstLine="660"/>
        <w:rPr>
          <w:rFonts w:hint="eastAsia" w:ascii="仿宋_GB2312" w:eastAsia="仿宋_GB2312"/>
          <w:sz w:val="32"/>
          <w:szCs w:val="30"/>
        </w:rPr>
      </w:pPr>
      <w:r>
        <w:rPr>
          <w:rFonts w:hint="eastAsia"/>
          <w:sz w:val="28"/>
          <w:szCs w:val="28"/>
        </w:rPr>
        <w:t>202</w:t>
      </w:r>
      <w:r>
        <w:rPr>
          <w:rFonts w:hint="eastAsia"/>
          <w:sz w:val="28"/>
          <w:szCs w:val="28"/>
          <w:lang w:val="en-US" w:eastAsia="zh-CN"/>
        </w:rPr>
        <w:t>2</w:t>
      </w:r>
      <w:r>
        <w:rPr>
          <w:rFonts w:hint="eastAsia"/>
          <w:sz w:val="28"/>
          <w:szCs w:val="28"/>
        </w:rPr>
        <w:t>年上饶市广丰区教育部门“三公”经费年初安排</w:t>
      </w:r>
      <w:r>
        <w:rPr>
          <w:rFonts w:hint="eastAsia"/>
          <w:sz w:val="28"/>
          <w:szCs w:val="28"/>
          <w:lang w:val="en-US" w:eastAsia="zh-CN"/>
        </w:rPr>
        <w:t>12</w:t>
      </w:r>
      <w:r>
        <w:rPr>
          <w:rFonts w:hint="eastAsia"/>
          <w:sz w:val="28"/>
          <w:szCs w:val="28"/>
        </w:rPr>
        <w:t>万元</w:t>
      </w:r>
      <w:r>
        <w:rPr>
          <w:rFonts w:hint="eastAsia"/>
          <w:sz w:val="28"/>
          <w:szCs w:val="28"/>
          <w:lang w:eastAsia="zh-CN"/>
        </w:rPr>
        <w:t>（其他资金安排）</w:t>
      </w:r>
      <w:r>
        <w:rPr>
          <w:rFonts w:hint="eastAsia"/>
          <w:sz w:val="28"/>
          <w:szCs w:val="28"/>
        </w:rPr>
        <w:t>，</w:t>
      </w:r>
      <w:r>
        <w:rPr>
          <w:rFonts w:hint="eastAsia"/>
          <w:sz w:val="28"/>
          <w:szCs w:val="28"/>
          <w:lang w:eastAsia="zh-CN"/>
        </w:rPr>
        <w:t>未安排一般公共预算经费支出</w:t>
      </w:r>
      <w:r>
        <w:rPr>
          <w:rFonts w:hint="eastAsia"/>
          <w:sz w:val="28"/>
          <w:szCs w:val="28"/>
          <w:highlight w:val="none"/>
        </w:rPr>
        <w:t>。</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第三部分  上饶市</w:t>
      </w:r>
      <w:r>
        <w:rPr>
          <w:rFonts w:hint="eastAsia" w:ascii="仿宋_GB2312" w:eastAsia="仿宋_GB2312"/>
          <w:b/>
          <w:sz w:val="32"/>
          <w:szCs w:val="30"/>
          <w:lang w:eastAsia="zh-CN"/>
        </w:rPr>
        <w:t>广丰区教育体育局</w:t>
      </w:r>
      <w:r>
        <w:rPr>
          <w:rFonts w:hint="eastAsia" w:ascii="仿宋_GB2312" w:eastAsia="仿宋_GB2312"/>
          <w:b/>
          <w:sz w:val="32"/>
          <w:szCs w:val="30"/>
        </w:rPr>
        <w:t>2022年部门预算表</w:t>
      </w:r>
    </w:p>
    <w:p>
      <w:pPr>
        <w:widowControl/>
        <w:spacing w:line="580" w:lineRule="exact"/>
        <w:ind w:firstLine="640" w:firstLineChars="200"/>
        <w:jc w:val="left"/>
        <w:rPr>
          <w:rFonts w:hint="eastAsia" w:ascii="仿宋_GB2312" w:eastAsia="仿宋_GB2312"/>
          <w:sz w:val="32"/>
          <w:szCs w:val="30"/>
        </w:rPr>
      </w:pPr>
      <w:r>
        <w:rPr>
          <w:rFonts w:hint="eastAsia" w:ascii="仿宋_GB2312" w:eastAsia="仿宋_GB2312"/>
          <w:sz w:val="32"/>
          <w:szCs w:val="30"/>
        </w:rPr>
        <w:t>十一张表</w:t>
      </w:r>
    </w:p>
    <w:p>
      <w:pPr>
        <w:widowControl/>
        <w:spacing w:line="580" w:lineRule="exact"/>
        <w:ind w:firstLine="640"/>
        <w:jc w:val="left"/>
        <w:rPr>
          <w:rFonts w:hint="eastAsia" w:ascii="仿宋_GB2312" w:eastAsia="仿宋_GB2312"/>
          <w:b/>
          <w:sz w:val="32"/>
          <w:szCs w:val="30"/>
        </w:rPr>
      </w:pPr>
      <w:r>
        <w:drawing>
          <wp:anchor distT="0" distB="0" distL="114300" distR="114300" simplePos="0" relativeHeight="251659264" behindDoc="0" locked="0" layoutInCell="1" allowOverlap="1">
            <wp:simplePos x="0" y="0"/>
            <wp:positionH relativeFrom="column">
              <wp:posOffset>214630</wp:posOffset>
            </wp:positionH>
            <wp:positionV relativeFrom="paragraph">
              <wp:posOffset>165100</wp:posOffset>
            </wp:positionV>
            <wp:extent cx="5265420" cy="5652135"/>
            <wp:effectExtent l="0" t="0" r="11430" b="5715"/>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5265420" cy="5652135"/>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1312" behindDoc="0" locked="0" layoutInCell="1" allowOverlap="1">
            <wp:simplePos x="0" y="0"/>
            <wp:positionH relativeFrom="column">
              <wp:posOffset>-8255</wp:posOffset>
            </wp:positionH>
            <wp:positionV relativeFrom="paragraph">
              <wp:posOffset>2346960</wp:posOffset>
            </wp:positionV>
            <wp:extent cx="5274310" cy="3098165"/>
            <wp:effectExtent l="0" t="0" r="2540" b="6985"/>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5"/>
                    <a:stretch>
                      <a:fillRect/>
                    </a:stretch>
                  </pic:blipFill>
                  <pic:spPr>
                    <a:xfrm>
                      <a:off x="0" y="0"/>
                      <a:ext cx="5274310" cy="309816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0</wp:posOffset>
            </wp:positionH>
            <wp:positionV relativeFrom="paragraph">
              <wp:posOffset>132715</wp:posOffset>
            </wp:positionV>
            <wp:extent cx="5264785" cy="2009140"/>
            <wp:effectExtent l="0" t="0" r="12065" b="1016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0" y="0"/>
                      <a:ext cx="5264785" cy="2009140"/>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3360" behindDoc="0" locked="0" layoutInCell="1" allowOverlap="1">
            <wp:simplePos x="0" y="0"/>
            <wp:positionH relativeFrom="column">
              <wp:posOffset>86995</wp:posOffset>
            </wp:positionH>
            <wp:positionV relativeFrom="paragraph">
              <wp:posOffset>5428615</wp:posOffset>
            </wp:positionV>
            <wp:extent cx="5269865" cy="1839595"/>
            <wp:effectExtent l="0" t="0" r="6985" b="8255"/>
            <wp:wrapSquare wrapText="bothSides"/>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7"/>
                    <a:stretch>
                      <a:fillRect/>
                    </a:stretch>
                  </pic:blipFill>
                  <pic:spPr>
                    <a:xfrm>
                      <a:off x="0" y="0"/>
                      <a:ext cx="5269865" cy="1839595"/>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86995</wp:posOffset>
            </wp:positionH>
            <wp:positionV relativeFrom="paragraph">
              <wp:posOffset>145415</wp:posOffset>
            </wp:positionV>
            <wp:extent cx="5267325" cy="5168265"/>
            <wp:effectExtent l="0" t="0" r="9525" b="1333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8"/>
                    <a:stretch>
                      <a:fillRect/>
                    </a:stretch>
                  </pic:blipFill>
                  <pic:spPr>
                    <a:xfrm>
                      <a:off x="0" y="0"/>
                      <a:ext cx="5267325" cy="5168265"/>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6432" behindDoc="0" locked="0" layoutInCell="1" allowOverlap="1">
            <wp:simplePos x="0" y="0"/>
            <wp:positionH relativeFrom="column">
              <wp:posOffset>-17145</wp:posOffset>
            </wp:positionH>
            <wp:positionV relativeFrom="paragraph">
              <wp:posOffset>6952615</wp:posOffset>
            </wp:positionV>
            <wp:extent cx="5267325" cy="1089660"/>
            <wp:effectExtent l="0" t="0" r="9525" b="15240"/>
            <wp:wrapSquare wrapText="bothSides"/>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9"/>
                    <a:stretch>
                      <a:fillRect/>
                    </a:stretch>
                  </pic:blipFill>
                  <pic:spPr>
                    <a:xfrm>
                      <a:off x="0" y="0"/>
                      <a:ext cx="5267325" cy="1089660"/>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43180</wp:posOffset>
            </wp:positionH>
            <wp:positionV relativeFrom="paragraph">
              <wp:posOffset>5526405</wp:posOffset>
            </wp:positionV>
            <wp:extent cx="5265420" cy="1148715"/>
            <wp:effectExtent l="0" t="0" r="11430" b="13335"/>
            <wp:wrapSquare wrapText="bothSides"/>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0"/>
                    <a:stretch>
                      <a:fillRect/>
                    </a:stretch>
                  </pic:blipFill>
                  <pic:spPr>
                    <a:xfrm>
                      <a:off x="0" y="0"/>
                      <a:ext cx="5265420" cy="114871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34925</wp:posOffset>
            </wp:positionH>
            <wp:positionV relativeFrom="paragraph">
              <wp:posOffset>31115</wp:posOffset>
            </wp:positionV>
            <wp:extent cx="5265420" cy="5245735"/>
            <wp:effectExtent l="0" t="0" r="11430" b="12065"/>
            <wp:wrapSquare wrapText="bothSides"/>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1"/>
                    <a:stretch>
                      <a:fillRect/>
                    </a:stretch>
                  </pic:blipFill>
                  <pic:spPr>
                    <a:xfrm>
                      <a:off x="0" y="0"/>
                      <a:ext cx="5265420" cy="5245735"/>
                    </a:xfrm>
                    <a:prstGeom prst="rect">
                      <a:avLst/>
                    </a:prstGeom>
                    <a:noFill/>
                    <a:ln>
                      <a:noFill/>
                    </a:ln>
                  </pic:spPr>
                </pic:pic>
              </a:graphicData>
            </a:graphic>
          </wp:anchor>
        </w:drawing>
      </w: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9504" behindDoc="0" locked="0" layoutInCell="1" allowOverlap="1">
            <wp:simplePos x="0" y="0"/>
            <wp:positionH relativeFrom="column">
              <wp:posOffset>0</wp:posOffset>
            </wp:positionH>
            <wp:positionV relativeFrom="paragraph">
              <wp:posOffset>4259580</wp:posOffset>
            </wp:positionV>
            <wp:extent cx="5265420" cy="1302385"/>
            <wp:effectExtent l="0" t="0" r="11430" b="12065"/>
            <wp:wrapSquare wrapText="bothSides"/>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2"/>
                    <a:stretch>
                      <a:fillRect/>
                    </a:stretch>
                  </pic:blipFill>
                  <pic:spPr>
                    <a:xfrm>
                      <a:off x="0" y="0"/>
                      <a:ext cx="5265420" cy="1302385"/>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column">
              <wp:posOffset>-33655</wp:posOffset>
            </wp:positionH>
            <wp:positionV relativeFrom="paragraph">
              <wp:posOffset>1614170</wp:posOffset>
            </wp:positionV>
            <wp:extent cx="5273675" cy="2207260"/>
            <wp:effectExtent l="0" t="0" r="3175" b="2540"/>
            <wp:wrapSquare wrapText="bothSides"/>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3"/>
                    <a:stretch>
                      <a:fillRect/>
                    </a:stretch>
                  </pic:blipFill>
                  <pic:spPr>
                    <a:xfrm>
                      <a:off x="0" y="0"/>
                      <a:ext cx="5273675" cy="220726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column">
              <wp:posOffset>-8890</wp:posOffset>
            </wp:positionH>
            <wp:positionV relativeFrom="paragraph">
              <wp:posOffset>135255</wp:posOffset>
            </wp:positionV>
            <wp:extent cx="5267325" cy="1167765"/>
            <wp:effectExtent l="0" t="0" r="9525" b="13335"/>
            <wp:wrapSquare wrapText="bothSides"/>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4"/>
                    <a:stretch>
                      <a:fillRect/>
                    </a:stretch>
                  </pic:blipFill>
                  <pic:spPr>
                    <a:xfrm>
                      <a:off x="0" y="0"/>
                      <a:ext cx="5267325" cy="1167765"/>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w:t>
      </w:r>
      <w:r>
        <w:rPr>
          <w:rFonts w:hint="eastAsia" w:ascii="仿宋_GB2312" w:eastAsia="仿宋_GB2312"/>
          <w:sz w:val="32"/>
          <w:szCs w:val="30"/>
          <w:lang w:eastAsia="zh-CN"/>
        </w:rPr>
        <w:t>区</w:t>
      </w:r>
      <w:r>
        <w:rPr>
          <w:rFonts w:hint="eastAsia" w:ascii="仿宋_GB2312" w:eastAsia="仿宋_GB2312"/>
          <w:sz w:val="32"/>
          <w:szCs w:val="30"/>
        </w:rPr>
        <w:t>级财政当年拨付的资金。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（二）教育收费资金收入：反映实行专项管理的高中以上学费、住宿费，高校委托培养费，函大、电大、夜大及短训班培训费等教育收费取得的收入。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（三）事业收入：指事业单位开展专业业务活动及辅助活动取得的收入。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（四）事业单位经营收入：指事业单位在专业业务活动及辅助活动之外开展非独立核算经营活动取得的收入。</w:t>
      </w:r>
    </w:p>
    <w:p>
      <w:pPr>
        <w:ind w:firstLine="640" w:firstLineChars="200"/>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（七）其他收入：指除财政拨款、事业收入、事业单位经营收入等以外的各项收入。</w:t>
      </w:r>
    </w:p>
    <w:p>
      <w:pPr>
        <w:ind w:firstLine="640" w:firstLineChars="200"/>
        <w:rPr>
          <w:rFonts w:hint="eastAsia" w:ascii="仿宋_GB2312" w:eastAsia="仿宋_GB2312"/>
          <w:sz w:val="32"/>
          <w:szCs w:val="30"/>
        </w:rPr>
      </w:pPr>
      <w:r>
        <w:rPr>
          <w:rFonts w:hint="eastAsia" w:ascii="仿宋_GB2312" w:eastAsia="仿宋_GB2312"/>
          <w:sz w:val="32"/>
          <w:szCs w:val="30"/>
        </w:rPr>
        <w:t>（八）使用非财政拨款结余：填列历年滚存的非限定用途的非统计财政拨款结余弥补2022年收支差额的数额。</w:t>
      </w:r>
    </w:p>
    <w:p>
      <w:pPr>
        <w:ind w:firstLine="640" w:firstLineChars="200"/>
        <w:rPr>
          <w:rFonts w:hint="eastAsia" w:ascii="仿宋_GB2312" w:eastAsia="仿宋_GB2312"/>
          <w:sz w:val="32"/>
          <w:szCs w:val="30"/>
        </w:rPr>
      </w:pPr>
      <w:r>
        <w:rPr>
          <w:rFonts w:hint="eastAsia" w:ascii="仿宋_GB2312" w:eastAsia="仿宋_GB2312"/>
          <w:sz w:val="32"/>
          <w:szCs w:val="30"/>
        </w:rPr>
        <w:t>（九）上年结转和结余：填列2021年全部结转和结余的资金数，包括当年结转结余资金和历年滚存结转结余资金。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对部门预算中涉及的支出功能分类科目（明细到项级），结合部门实际，参照《2022年政府收支分类科目》的规范说明进行解释。</w:t>
      </w:r>
    </w:p>
    <w:p>
      <w:pPr>
        <w:widowControl/>
        <w:spacing w:line="580" w:lineRule="exact"/>
        <w:ind w:firstLine="640"/>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A6A1F"/>
    <w:multiLevelType w:val="singleLevel"/>
    <w:tmpl w:val="DF7A6A1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671"/>
    <w:rsid w:val="000425E9"/>
    <w:rsid w:val="00206D9B"/>
    <w:rsid w:val="0028237E"/>
    <w:rsid w:val="002C2715"/>
    <w:rsid w:val="002C4FF8"/>
    <w:rsid w:val="002E174F"/>
    <w:rsid w:val="002F77B7"/>
    <w:rsid w:val="00334B45"/>
    <w:rsid w:val="00377A26"/>
    <w:rsid w:val="00423394"/>
    <w:rsid w:val="004667A9"/>
    <w:rsid w:val="00527B43"/>
    <w:rsid w:val="00547328"/>
    <w:rsid w:val="005D5C1D"/>
    <w:rsid w:val="00684075"/>
    <w:rsid w:val="006C5F75"/>
    <w:rsid w:val="006D2B57"/>
    <w:rsid w:val="006E39F3"/>
    <w:rsid w:val="006E4D06"/>
    <w:rsid w:val="00707D9C"/>
    <w:rsid w:val="0073735B"/>
    <w:rsid w:val="007965AD"/>
    <w:rsid w:val="007A5405"/>
    <w:rsid w:val="007C47D2"/>
    <w:rsid w:val="007E24A5"/>
    <w:rsid w:val="007F48EE"/>
    <w:rsid w:val="00915CFC"/>
    <w:rsid w:val="00937FD7"/>
    <w:rsid w:val="00946297"/>
    <w:rsid w:val="00950782"/>
    <w:rsid w:val="009B0842"/>
    <w:rsid w:val="009B49D7"/>
    <w:rsid w:val="009B4DF2"/>
    <w:rsid w:val="009E2E44"/>
    <w:rsid w:val="00A273B6"/>
    <w:rsid w:val="00B1320F"/>
    <w:rsid w:val="00C02B45"/>
    <w:rsid w:val="00CD30BB"/>
    <w:rsid w:val="00CE3777"/>
    <w:rsid w:val="00D03AF0"/>
    <w:rsid w:val="00DD169A"/>
    <w:rsid w:val="00E675C1"/>
    <w:rsid w:val="00F04158"/>
    <w:rsid w:val="00F11988"/>
    <w:rsid w:val="00F85CAB"/>
    <w:rsid w:val="00FB443B"/>
    <w:rsid w:val="04C14C30"/>
    <w:rsid w:val="05B93D2F"/>
    <w:rsid w:val="0B9D1C27"/>
    <w:rsid w:val="0FFE707B"/>
    <w:rsid w:val="14AB6099"/>
    <w:rsid w:val="1C406E53"/>
    <w:rsid w:val="23A966CE"/>
    <w:rsid w:val="28FD2BB9"/>
    <w:rsid w:val="301D09BF"/>
    <w:rsid w:val="35DA7E1B"/>
    <w:rsid w:val="427571C2"/>
    <w:rsid w:val="4B7113AA"/>
    <w:rsid w:val="50AD0359"/>
    <w:rsid w:val="5EEA3A1A"/>
    <w:rsid w:val="6CDB296D"/>
    <w:rsid w:val="730F4A4C"/>
    <w:rsid w:val="74B57C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2198</Words>
  <Characters>2347</Characters>
  <Lines>16</Lines>
  <Paragraphs>4</Paragraphs>
  <TotalTime>12</TotalTime>
  <ScaleCrop>false</ScaleCrop>
  <LinksUpToDate>false</LinksUpToDate>
  <CharactersWithSpaces>2378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2011-09-13T03:13:00Z</dcterms:created>
  <dc:creator>dell</dc:creator>
  <cp:lastModifiedBy>Administrator</cp:lastModifiedBy>
  <cp:lastPrinted>2022-04-06T02:28:41Z</cp:lastPrinted>
  <dcterms:modified xsi:type="dcterms:W3CDTF">2022-04-06T02:28:43Z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344E403200C8413AB9007F6B7BE0658B</vt:lpwstr>
  </property>
</Properties>
</file>