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sz w:val="28"/>
          <w:szCs w:val="28"/>
        </w:rPr>
      </w:pPr>
      <w:r>
        <w:rPr>
          <w:rFonts w:hint="eastAsia"/>
          <w:sz w:val="28"/>
          <w:szCs w:val="28"/>
        </w:rPr>
        <w:t>附件1：</w:t>
      </w:r>
    </w:p>
    <w:p/>
    <w:p>
      <w:pPr>
        <w:spacing w:line="520" w:lineRule="exact"/>
        <w:ind w:firstLine="883" w:firstLineChars="200"/>
        <w:jc w:val="center"/>
        <w:rPr>
          <w:rFonts w:ascii="黑体" w:hAnsi="黑体" w:eastAsia="黑体"/>
          <w:b/>
          <w:sz w:val="44"/>
          <w:szCs w:val="44"/>
        </w:rPr>
      </w:pPr>
      <w:r>
        <w:rPr>
          <w:rFonts w:hint="eastAsia" w:ascii="黑体" w:hAnsi="黑体" w:eastAsia="黑体"/>
          <w:b/>
          <w:sz w:val="44"/>
          <w:szCs w:val="44"/>
        </w:rPr>
        <w:t>上饶市广丰区卫健委2022年部门预算</w:t>
      </w:r>
    </w:p>
    <w:p>
      <w:pPr>
        <w:spacing w:line="520" w:lineRule="exact"/>
        <w:ind w:firstLine="883" w:firstLineChars="200"/>
        <w:jc w:val="center"/>
        <w:rPr>
          <w:rFonts w:ascii="黑体" w:hAnsi="黑体" w:eastAsia="黑体"/>
          <w:b/>
          <w:sz w:val="44"/>
          <w:szCs w:val="44"/>
        </w:rPr>
      </w:pPr>
    </w:p>
    <w:p/>
    <w:p>
      <w:pPr>
        <w:spacing w:line="600" w:lineRule="exact"/>
        <w:jc w:val="center"/>
        <w:rPr>
          <w:rFonts w:ascii="黑体" w:eastAsia="黑体"/>
          <w:sz w:val="32"/>
          <w:szCs w:val="32"/>
        </w:rPr>
      </w:pPr>
      <w:r>
        <w:rPr>
          <w:rFonts w:hint="eastAsia" w:ascii="黑体" w:eastAsia="黑体"/>
          <w:sz w:val="32"/>
          <w:szCs w:val="32"/>
        </w:rPr>
        <w:t>目    录</w:t>
      </w:r>
    </w:p>
    <w:p/>
    <w:p>
      <w:pPr>
        <w:widowControl/>
        <w:spacing w:line="600" w:lineRule="exact"/>
        <w:ind w:firstLine="640"/>
        <w:jc w:val="left"/>
        <w:rPr>
          <w:rFonts w:ascii="仿宋_GB2312" w:eastAsia="仿宋_GB2312"/>
          <w:b/>
          <w:sz w:val="32"/>
          <w:szCs w:val="30"/>
        </w:rPr>
      </w:pPr>
      <w:r>
        <w:rPr>
          <w:rFonts w:hint="eastAsia" w:ascii="仿宋_GB2312" w:eastAsia="仿宋_GB2312"/>
          <w:b/>
          <w:sz w:val="32"/>
          <w:szCs w:val="30"/>
        </w:rPr>
        <w:t>第一部分  上饶市广丰区卫健委部门概况</w:t>
      </w:r>
    </w:p>
    <w:p>
      <w:pPr>
        <w:widowControl/>
        <w:spacing w:line="600" w:lineRule="exact"/>
        <w:ind w:firstLine="640"/>
        <w:jc w:val="left"/>
        <w:rPr>
          <w:rFonts w:ascii="楷体_GB2312" w:eastAsia="楷体_GB2312"/>
          <w:sz w:val="32"/>
          <w:szCs w:val="30"/>
        </w:rPr>
      </w:pPr>
      <w:r>
        <w:rPr>
          <w:rFonts w:hint="eastAsia" w:ascii="仿宋_GB2312" w:eastAsia="仿宋_GB2312"/>
          <w:b/>
          <w:sz w:val="32"/>
          <w:szCs w:val="30"/>
        </w:rPr>
        <w:t xml:space="preserve">  </w:t>
      </w:r>
      <w:r>
        <w:rPr>
          <w:rFonts w:hint="eastAsia" w:ascii="仿宋_GB2312" w:eastAsia="仿宋_GB2312"/>
          <w:sz w:val="32"/>
          <w:szCs w:val="30"/>
        </w:rPr>
        <w:t xml:space="preserve">  </w:t>
      </w:r>
      <w:r>
        <w:rPr>
          <w:rFonts w:hint="eastAsia" w:ascii="楷体_GB2312" w:eastAsia="楷体_GB2312"/>
          <w:sz w:val="32"/>
          <w:szCs w:val="30"/>
        </w:rPr>
        <w:t>一、部门主要职责</w:t>
      </w:r>
    </w:p>
    <w:p>
      <w:pPr>
        <w:widowControl/>
        <w:spacing w:line="600" w:lineRule="exact"/>
        <w:ind w:firstLine="640"/>
        <w:jc w:val="left"/>
        <w:rPr>
          <w:rFonts w:ascii="楷体_GB2312" w:hAnsi="Calibri" w:eastAsia="楷体_GB2312" w:cs="宋体"/>
          <w:kern w:val="0"/>
          <w:sz w:val="32"/>
          <w:szCs w:val="32"/>
        </w:rPr>
      </w:pPr>
      <w:r>
        <w:rPr>
          <w:rFonts w:hint="eastAsia" w:ascii="楷体_GB2312" w:hAnsi="Calibri" w:eastAsia="楷体_GB2312" w:cs="宋体"/>
          <w:kern w:val="0"/>
          <w:sz w:val="32"/>
          <w:szCs w:val="32"/>
        </w:rPr>
        <w:t xml:space="preserve">    二、部门机构设置及人员基本情况</w:t>
      </w:r>
    </w:p>
    <w:p>
      <w:pPr>
        <w:widowControl/>
        <w:spacing w:line="600" w:lineRule="exact"/>
        <w:ind w:firstLine="640"/>
        <w:jc w:val="left"/>
        <w:rPr>
          <w:rFonts w:ascii="仿宋_GB2312" w:eastAsia="仿宋_GB2312"/>
          <w:b/>
          <w:sz w:val="32"/>
          <w:szCs w:val="30"/>
        </w:rPr>
      </w:pPr>
      <w:r>
        <w:rPr>
          <w:rFonts w:hint="eastAsia" w:ascii="仿宋_GB2312" w:hAnsi="Calibri" w:eastAsia="仿宋_GB2312" w:cs="宋体"/>
          <w:b/>
          <w:kern w:val="0"/>
          <w:sz w:val="32"/>
          <w:szCs w:val="32"/>
        </w:rPr>
        <w:t xml:space="preserve">第二部分  </w:t>
      </w:r>
      <w:r>
        <w:rPr>
          <w:rFonts w:hint="eastAsia" w:ascii="仿宋_GB2312" w:eastAsia="仿宋_GB2312"/>
          <w:b/>
          <w:sz w:val="32"/>
          <w:szCs w:val="30"/>
        </w:rPr>
        <w:t>上饶市广丰区卫健委部门2022年部门预算情况说明</w:t>
      </w:r>
    </w:p>
    <w:p>
      <w:pPr>
        <w:widowControl/>
        <w:spacing w:line="600" w:lineRule="exact"/>
        <w:ind w:firstLine="1280" w:firstLineChars="400"/>
        <w:jc w:val="left"/>
        <w:rPr>
          <w:rFonts w:ascii="楷体_GB2312" w:eastAsia="楷体_GB2312"/>
          <w:sz w:val="32"/>
          <w:szCs w:val="30"/>
        </w:rPr>
      </w:pPr>
      <w:r>
        <w:rPr>
          <w:rFonts w:hint="eastAsia" w:ascii="楷体_GB2312" w:eastAsia="楷体_GB2312"/>
          <w:sz w:val="32"/>
          <w:szCs w:val="30"/>
        </w:rPr>
        <w:t>一、2022年部门预算收支情况说明</w:t>
      </w:r>
    </w:p>
    <w:p>
      <w:pPr>
        <w:widowControl/>
        <w:spacing w:line="600" w:lineRule="exact"/>
        <w:ind w:firstLine="640"/>
        <w:jc w:val="left"/>
        <w:rPr>
          <w:rFonts w:ascii="楷体_GB2312" w:eastAsia="楷体_GB2312"/>
          <w:sz w:val="32"/>
          <w:szCs w:val="30"/>
        </w:rPr>
      </w:pPr>
      <w:r>
        <w:rPr>
          <w:rFonts w:hint="eastAsia" w:ascii="楷体_GB2312" w:hAnsi="Calibri" w:eastAsia="楷体_GB2312" w:cs="宋体"/>
          <w:kern w:val="0"/>
          <w:sz w:val="32"/>
          <w:szCs w:val="32"/>
        </w:rPr>
        <w:t xml:space="preserve">    二、</w:t>
      </w:r>
      <w:r>
        <w:rPr>
          <w:rFonts w:hint="eastAsia" w:ascii="楷体_GB2312" w:eastAsia="楷体_GB2312"/>
          <w:sz w:val="32"/>
          <w:szCs w:val="30"/>
        </w:rPr>
        <w:t>2022年“三公”经费预算情况说明</w:t>
      </w:r>
    </w:p>
    <w:p>
      <w:pPr>
        <w:widowControl/>
        <w:spacing w:line="600" w:lineRule="exact"/>
        <w:ind w:firstLine="640"/>
        <w:jc w:val="left"/>
        <w:rPr>
          <w:rFonts w:ascii="仿宋_GB2312" w:eastAsia="仿宋_GB2312"/>
          <w:b/>
          <w:sz w:val="32"/>
          <w:szCs w:val="30"/>
        </w:rPr>
      </w:pPr>
      <w:r>
        <w:rPr>
          <w:rFonts w:hint="eastAsia" w:ascii="仿宋_GB2312" w:eastAsia="仿宋_GB2312"/>
          <w:b/>
          <w:sz w:val="32"/>
          <w:szCs w:val="30"/>
        </w:rPr>
        <w:t>第三部分  上饶市广丰区卫健委部门2022年部门预算表</w:t>
      </w:r>
    </w:p>
    <w:p>
      <w:pPr>
        <w:widowControl/>
        <w:spacing w:line="600" w:lineRule="exact"/>
        <w:ind w:firstLine="1280" w:firstLineChars="400"/>
        <w:jc w:val="left"/>
        <w:rPr>
          <w:rFonts w:ascii="楷体_GB2312" w:eastAsia="楷体_GB2312"/>
          <w:sz w:val="32"/>
          <w:szCs w:val="30"/>
        </w:rPr>
      </w:pPr>
      <w:r>
        <w:rPr>
          <w:rFonts w:hint="eastAsia" w:ascii="楷体_GB2312" w:eastAsia="楷体_GB2312"/>
          <w:sz w:val="32"/>
          <w:szCs w:val="30"/>
        </w:rPr>
        <w:t>一、《部门预算收支总表》</w:t>
      </w:r>
    </w:p>
    <w:p>
      <w:pPr>
        <w:widowControl/>
        <w:spacing w:line="600" w:lineRule="exact"/>
        <w:ind w:firstLine="1280" w:firstLineChars="400"/>
        <w:jc w:val="left"/>
        <w:rPr>
          <w:rFonts w:ascii="楷体_GB2312" w:eastAsia="楷体_GB2312"/>
          <w:sz w:val="32"/>
          <w:szCs w:val="30"/>
        </w:rPr>
      </w:pPr>
      <w:r>
        <w:rPr>
          <w:rFonts w:hint="eastAsia" w:ascii="楷体_GB2312" w:eastAsia="楷体_GB2312"/>
          <w:sz w:val="32"/>
          <w:szCs w:val="30"/>
        </w:rPr>
        <w:t>二、《部门收入总表》</w:t>
      </w:r>
    </w:p>
    <w:p>
      <w:pPr>
        <w:widowControl/>
        <w:spacing w:line="600" w:lineRule="exact"/>
        <w:ind w:firstLine="1280" w:firstLineChars="400"/>
        <w:jc w:val="left"/>
        <w:rPr>
          <w:rFonts w:ascii="楷体_GB2312" w:eastAsia="楷体_GB2312"/>
          <w:sz w:val="32"/>
          <w:szCs w:val="30"/>
        </w:rPr>
      </w:pPr>
      <w:r>
        <w:rPr>
          <w:rFonts w:hint="eastAsia" w:ascii="楷体_GB2312" w:eastAsia="楷体_GB2312"/>
          <w:sz w:val="32"/>
          <w:szCs w:val="30"/>
        </w:rPr>
        <w:t>三、《部门支出总表》</w:t>
      </w:r>
    </w:p>
    <w:p>
      <w:pPr>
        <w:widowControl/>
        <w:spacing w:line="600" w:lineRule="exact"/>
        <w:ind w:firstLine="1280" w:firstLineChars="400"/>
        <w:jc w:val="left"/>
        <w:rPr>
          <w:rFonts w:ascii="楷体_GB2312" w:eastAsia="楷体_GB2312"/>
          <w:sz w:val="32"/>
          <w:szCs w:val="30"/>
        </w:rPr>
      </w:pPr>
      <w:r>
        <w:rPr>
          <w:rFonts w:hint="eastAsia" w:ascii="楷体_GB2312" w:eastAsia="楷体_GB2312"/>
          <w:sz w:val="32"/>
          <w:szCs w:val="30"/>
        </w:rPr>
        <w:t>四、《财政拨款收支总表》</w:t>
      </w:r>
    </w:p>
    <w:p>
      <w:pPr>
        <w:widowControl/>
        <w:spacing w:line="600" w:lineRule="exact"/>
        <w:ind w:firstLine="1280" w:firstLineChars="400"/>
        <w:jc w:val="left"/>
        <w:rPr>
          <w:rFonts w:ascii="楷体_GB2312" w:eastAsia="楷体_GB2312"/>
          <w:sz w:val="32"/>
          <w:szCs w:val="30"/>
        </w:rPr>
      </w:pPr>
      <w:r>
        <w:rPr>
          <w:rFonts w:hint="eastAsia" w:ascii="楷体_GB2312" w:eastAsia="楷体_GB2312"/>
          <w:sz w:val="32"/>
          <w:szCs w:val="30"/>
        </w:rPr>
        <w:t>五、《一般公共预算支出表》</w:t>
      </w:r>
    </w:p>
    <w:p>
      <w:pPr>
        <w:widowControl/>
        <w:spacing w:line="600" w:lineRule="exact"/>
        <w:ind w:firstLine="1280" w:firstLineChars="400"/>
        <w:jc w:val="left"/>
        <w:rPr>
          <w:rFonts w:ascii="楷体_GB2312" w:eastAsia="楷体_GB2312"/>
          <w:sz w:val="32"/>
          <w:szCs w:val="30"/>
        </w:rPr>
      </w:pPr>
      <w:r>
        <w:rPr>
          <w:rFonts w:hint="eastAsia" w:ascii="楷体_GB2312" w:eastAsia="楷体_GB2312"/>
          <w:sz w:val="32"/>
          <w:szCs w:val="30"/>
        </w:rPr>
        <w:t>六、《一般公共预算基本支出表》</w:t>
      </w:r>
    </w:p>
    <w:p>
      <w:pPr>
        <w:widowControl/>
        <w:spacing w:line="600" w:lineRule="exact"/>
        <w:ind w:firstLine="1280" w:firstLineChars="400"/>
        <w:jc w:val="left"/>
        <w:rPr>
          <w:rFonts w:ascii="楷体_GB2312" w:eastAsia="楷体_GB2312"/>
          <w:sz w:val="32"/>
          <w:szCs w:val="30"/>
        </w:rPr>
      </w:pPr>
      <w:r>
        <w:rPr>
          <w:rFonts w:hint="eastAsia" w:ascii="楷体_GB2312" w:eastAsia="楷体_GB2312"/>
          <w:sz w:val="32"/>
          <w:szCs w:val="30"/>
        </w:rPr>
        <w:t>七、《一般公共预算“三公”经费支出表》</w:t>
      </w:r>
    </w:p>
    <w:p>
      <w:pPr>
        <w:widowControl/>
        <w:spacing w:line="600" w:lineRule="exact"/>
        <w:ind w:firstLine="1280" w:firstLineChars="400"/>
        <w:jc w:val="left"/>
        <w:rPr>
          <w:rFonts w:ascii="楷体_GB2312" w:eastAsia="楷体_GB2312"/>
          <w:sz w:val="32"/>
          <w:szCs w:val="30"/>
        </w:rPr>
      </w:pPr>
      <w:r>
        <w:rPr>
          <w:rFonts w:hint="eastAsia" w:ascii="楷体_GB2312" w:eastAsia="楷体_GB2312"/>
          <w:sz w:val="32"/>
          <w:szCs w:val="30"/>
        </w:rPr>
        <w:t>八、《政府性基金预算支出表》</w:t>
      </w:r>
    </w:p>
    <w:p>
      <w:pPr>
        <w:widowControl/>
        <w:spacing w:line="600" w:lineRule="exact"/>
        <w:ind w:firstLine="1280" w:firstLineChars="400"/>
        <w:jc w:val="left"/>
        <w:rPr>
          <w:rFonts w:ascii="楷体_GB2312" w:eastAsia="楷体_GB2312"/>
          <w:sz w:val="32"/>
          <w:szCs w:val="30"/>
        </w:rPr>
      </w:pPr>
      <w:r>
        <w:rPr>
          <w:rFonts w:hint="eastAsia" w:ascii="楷体_GB2312" w:eastAsia="楷体_GB2312"/>
          <w:sz w:val="32"/>
          <w:szCs w:val="30"/>
        </w:rPr>
        <w:t>九、《国有资本经营预算支出表》</w:t>
      </w:r>
    </w:p>
    <w:p>
      <w:pPr>
        <w:widowControl/>
        <w:spacing w:line="600" w:lineRule="exact"/>
        <w:ind w:firstLine="1280" w:firstLineChars="400"/>
        <w:jc w:val="left"/>
        <w:rPr>
          <w:rFonts w:ascii="楷体_GB2312" w:eastAsia="楷体_GB2312"/>
          <w:sz w:val="32"/>
          <w:szCs w:val="30"/>
        </w:rPr>
      </w:pPr>
      <w:r>
        <w:rPr>
          <w:rFonts w:hint="eastAsia" w:ascii="楷体_GB2312" w:eastAsia="楷体_GB2312"/>
          <w:sz w:val="32"/>
          <w:szCs w:val="30"/>
        </w:rPr>
        <w:t>十、《部门整体支出绩效目标表》</w:t>
      </w:r>
    </w:p>
    <w:p>
      <w:pPr>
        <w:widowControl/>
        <w:spacing w:line="600" w:lineRule="exact"/>
        <w:ind w:firstLine="1280" w:firstLineChars="400"/>
        <w:jc w:val="left"/>
        <w:rPr>
          <w:rFonts w:ascii="楷体_GB2312" w:eastAsia="楷体_GB2312"/>
          <w:sz w:val="32"/>
          <w:szCs w:val="30"/>
        </w:rPr>
      </w:pPr>
      <w:r>
        <w:rPr>
          <w:rFonts w:hint="eastAsia" w:ascii="楷体_GB2312" w:eastAsia="楷体_GB2312"/>
          <w:sz w:val="32"/>
          <w:szCs w:val="30"/>
        </w:rPr>
        <w:t>十一、《重点项目绩效目标表》</w:t>
      </w:r>
    </w:p>
    <w:p>
      <w:pPr>
        <w:widowControl/>
        <w:spacing w:line="600" w:lineRule="exact"/>
        <w:ind w:firstLine="640"/>
        <w:jc w:val="left"/>
        <w:rPr>
          <w:rFonts w:ascii="仿宋_GB2312" w:eastAsia="仿宋_GB2312"/>
          <w:b/>
          <w:sz w:val="32"/>
          <w:szCs w:val="30"/>
        </w:rPr>
      </w:pPr>
      <w:r>
        <w:rPr>
          <w:rFonts w:hint="eastAsia" w:ascii="仿宋_GB2312" w:eastAsia="仿宋_GB2312"/>
          <w:b/>
          <w:sz w:val="32"/>
          <w:szCs w:val="30"/>
        </w:rPr>
        <w:t>第四部分  名词解释</w:t>
      </w:r>
    </w:p>
    <w:p>
      <w:pPr>
        <w:widowControl/>
        <w:spacing w:line="600" w:lineRule="exact"/>
        <w:ind w:firstLine="640"/>
        <w:jc w:val="left"/>
        <w:rPr>
          <w:rFonts w:ascii="仿宋_GB2312" w:eastAsia="仿宋_GB2312"/>
          <w:b/>
          <w:sz w:val="32"/>
          <w:szCs w:val="30"/>
        </w:rPr>
      </w:pPr>
    </w:p>
    <w:p>
      <w:pPr>
        <w:widowControl/>
        <w:spacing w:line="580" w:lineRule="exact"/>
        <w:jc w:val="center"/>
        <w:rPr>
          <w:rFonts w:ascii="仿宋_GB2312" w:eastAsia="仿宋_GB2312"/>
          <w:b/>
          <w:sz w:val="32"/>
          <w:szCs w:val="30"/>
        </w:rPr>
      </w:pPr>
      <w:r>
        <w:rPr>
          <w:rFonts w:hint="eastAsia" w:ascii="仿宋_GB2312" w:eastAsia="仿宋_GB2312"/>
          <w:b/>
          <w:sz w:val="32"/>
          <w:szCs w:val="30"/>
        </w:rPr>
        <w:t>第一部分  上饶市广丰区卫健委概况</w:t>
      </w:r>
    </w:p>
    <w:p>
      <w:pPr>
        <w:widowControl/>
        <w:spacing w:line="580" w:lineRule="exact"/>
        <w:ind w:firstLine="640"/>
        <w:jc w:val="left"/>
        <w:rPr>
          <w:rFonts w:ascii="楷体_GB2312" w:eastAsia="楷体_GB2312"/>
          <w:b/>
          <w:sz w:val="32"/>
          <w:szCs w:val="30"/>
        </w:rPr>
      </w:pPr>
    </w:p>
    <w:p>
      <w:pPr>
        <w:pStyle w:val="7"/>
        <w:tabs>
          <w:tab w:val="left" w:pos="360"/>
        </w:tabs>
        <w:snapToGrid w:val="0"/>
        <w:spacing w:line="560" w:lineRule="exact"/>
        <w:ind w:left="0" w:firstLine="643" w:firstLineChars="200"/>
        <w:rPr>
          <w:rFonts w:ascii="楷体_GB2312" w:eastAsia="楷体_GB2312"/>
          <w:b/>
          <w:sz w:val="32"/>
          <w:szCs w:val="30"/>
          <w:lang w:eastAsia="zh-CN"/>
        </w:rPr>
      </w:pPr>
      <w:r>
        <w:rPr>
          <w:rFonts w:hint="eastAsia" w:ascii="楷体_GB2312" w:eastAsia="楷体_GB2312"/>
          <w:b/>
          <w:sz w:val="32"/>
          <w:szCs w:val="30"/>
        </w:rPr>
        <w:t>一、</w:t>
      </w:r>
      <w:r>
        <w:rPr>
          <w:rFonts w:hint="eastAsia" w:ascii="楷体_GB2312" w:eastAsia="楷体_GB2312"/>
          <w:b/>
          <w:sz w:val="32"/>
          <w:szCs w:val="30"/>
          <w:lang w:eastAsia="zh-CN"/>
        </w:rPr>
        <w:t>广丰区卫健委</w:t>
      </w:r>
      <w:r>
        <w:rPr>
          <w:rFonts w:hint="eastAsia" w:ascii="楷体_GB2312" w:eastAsia="楷体_GB2312"/>
          <w:b/>
          <w:sz w:val="32"/>
          <w:szCs w:val="30"/>
        </w:rPr>
        <w:t>主要职责</w:t>
      </w:r>
    </w:p>
    <w:p>
      <w:pPr>
        <w:pStyle w:val="7"/>
        <w:tabs>
          <w:tab w:val="left" w:pos="360"/>
        </w:tabs>
        <w:snapToGrid w:val="0"/>
        <w:spacing w:line="560" w:lineRule="exact"/>
        <w:ind w:left="0" w:firstLine="600" w:firstLineChars="200"/>
        <w:rPr>
          <w:rFonts w:ascii="仿宋_GB2312" w:hAnsi="仿宋" w:eastAsia="仿宋_GB2312"/>
          <w:sz w:val="30"/>
          <w:szCs w:val="30"/>
        </w:rPr>
      </w:pPr>
      <w:r>
        <w:rPr>
          <w:rFonts w:hint="eastAsia" w:ascii="仿宋_GB2312" w:hAnsi="仿宋" w:eastAsia="仿宋_GB2312"/>
          <w:sz w:val="30"/>
          <w:szCs w:val="30"/>
        </w:rPr>
        <w:t>上饶市</w:t>
      </w:r>
      <w:r>
        <w:rPr>
          <w:rFonts w:hint="eastAsia" w:ascii="仿宋_GB2312" w:hAnsi="仿宋" w:eastAsia="仿宋_GB2312"/>
          <w:sz w:val="30"/>
          <w:szCs w:val="30"/>
          <w:lang w:eastAsia="zh-CN"/>
        </w:rPr>
        <w:t>广丰区卫生健康</w:t>
      </w:r>
      <w:r>
        <w:rPr>
          <w:rFonts w:hint="eastAsia" w:ascii="仿宋_GB2312" w:hAnsi="仿宋" w:eastAsia="仿宋_GB2312"/>
          <w:sz w:val="30"/>
          <w:szCs w:val="30"/>
        </w:rPr>
        <w:t>委员会是主管全</w:t>
      </w:r>
      <w:r>
        <w:rPr>
          <w:rFonts w:hint="eastAsia" w:ascii="仿宋_GB2312" w:hAnsi="仿宋" w:eastAsia="仿宋_GB2312"/>
          <w:sz w:val="30"/>
          <w:szCs w:val="30"/>
          <w:lang w:eastAsia="zh-CN"/>
        </w:rPr>
        <w:t>区卫生健康</w:t>
      </w:r>
      <w:r>
        <w:rPr>
          <w:rFonts w:hint="eastAsia" w:ascii="仿宋_GB2312" w:hAnsi="仿宋" w:eastAsia="仿宋_GB2312"/>
          <w:sz w:val="30"/>
          <w:szCs w:val="30"/>
        </w:rPr>
        <w:t>工作的</w:t>
      </w:r>
      <w:r>
        <w:rPr>
          <w:rFonts w:hint="eastAsia" w:ascii="仿宋_GB2312" w:hAnsi="仿宋" w:eastAsia="仿宋_GB2312"/>
          <w:sz w:val="30"/>
          <w:szCs w:val="30"/>
          <w:lang w:eastAsia="zh-CN"/>
        </w:rPr>
        <w:t>区</w:t>
      </w:r>
      <w:r>
        <w:rPr>
          <w:rFonts w:hint="eastAsia" w:ascii="仿宋_GB2312" w:hAnsi="仿宋" w:eastAsia="仿宋_GB2312"/>
          <w:sz w:val="30"/>
          <w:szCs w:val="30"/>
        </w:rPr>
        <w:t>人民政府组成部门，主要职责是：</w:t>
      </w:r>
    </w:p>
    <w:p>
      <w:pPr>
        <w:widowControl/>
        <w:numPr>
          <w:ilvl w:val="0"/>
          <w:numId w:val="1"/>
        </w:numPr>
        <w:spacing w:line="560" w:lineRule="exact"/>
        <w:ind w:firstLine="600" w:firstLineChars="200"/>
        <w:jc w:val="left"/>
        <w:rPr>
          <w:rFonts w:ascii="仿宋_GB2312" w:hAnsi="仿宋" w:eastAsia="仿宋_GB2312"/>
          <w:sz w:val="30"/>
          <w:szCs w:val="30"/>
        </w:rPr>
      </w:pPr>
      <w:r>
        <w:rPr>
          <w:rFonts w:hint="eastAsia" w:ascii="仿宋_GB2312" w:hAnsi="仿宋" w:eastAsia="仿宋_GB2312"/>
          <w:sz w:val="30"/>
          <w:szCs w:val="30"/>
        </w:rPr>
        <w:t>贯彻执行国家、省、市有关卫生健康、中医药事业发展的法律法规和方针政策，负责起草我区卫生健康、中医药事业发展的地方性法规、规章草案，拟订政策规划。</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2.负责制定职责范围内的职业卫生、放射卫生、环境卫生、学校卫生、公共场所卫生、饮用水卫生管理规范、实施标准和政策措施，组织开展相关监测、调查、评估和监督，负责传染病防治监督。组织开展食品安全风险监测、评估，依法制定并公布地方食品安全标准。</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3.负责组织实施基层卫生健康服务、妇幼卫生发展规划和政策措施，指导全市基层卫生健康、妇幼卫生服务体系建设，推进基本公共卫生服务均等化，完善基层运行新机制和乡村医生管理制度。</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4.负责组织推进公立医院改革，建立公益性为导向的绩效考核和评价运行机制，建设和谐医患关系，提出医疗服务。</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5.负责卫生健康宣传、健康教育、健康促进和信息化建设等工作，依法组织实施统计调查，参与区人口基础信息库建设。组织指导卫生健康方面的国际合作交流与援外工作，开展与港澳台的卫生健康合作与交流。</w:t>
      </w:r>
    </w:p>
    <w:p>
      <w:pPr>
        <w:spacing w:line="560" w:lineRule="exact"/>
        <w:ind w:firstLine="600" w:firstLineChars="200"/>
        <w:rPr>
          <w:rFonts w:ascii="仿宋_GB2312" w:hAnsi="仿宋" w:eastAsia="仿宋_GB2312"/>
          <w:sz w:val="30"/>
          <w:szCs w:val="30"/>
        </w:rPr>
      </w:pPr>
      <w:r>
        <w:rPr>
          <w:rFonts w:hint="eastAsia" w:ascii="仿宋_GB2312" w:hAnsi="仿宋" w:eastAsia="仿宋_GB2312"/>
          <w:sz w:val="30"/>
          <w:szCs w:val="30"/>
        </w:rPr>
        <w:t>6.制定全区中医药中长期发展规划，将其纳入全区卫生健康事业发展总体规划和战略目标，并组织实施。</w:t>
      </w:r>
    </w:p>
    <w:p>
      <w:pPr>
        <w:shd w:val="clear" w:color="auto" w:fill="FFFFFF"/>
        <w:spacing w:line="560" w:lineRule="exact"/>
        <w:ind w:firstLine="600" w:firstLineChars="200"/>
        <w:rPr>
          <w:rFonts w:ascii="仿宋_GB2312" w:hAnsi="黑体" w:eastAsia="仿宋_GB2312"/>
          <w:sz w:val="30"/>
          <w:szCs w:val="30"/>
        </w:rPr>
      </w:pPr>
      <w:r>
        <w:rPr>
          <w:rFonts w:hint="eastAsia" w:ascii="仿宋_GB2312" w:hAnsi="仿宋" w:eastAsia="仿宋_GB2312"/>
          <w:sz w:val="30"/>
          <w:szCs w:val="30"/>
        </w:rPr>
        <w:t>7．承办区人民政府交办的其他事项。</w:t>
      </w:r>
    </w:p>
    <w:p>
      <w:pPr>
        <w:widowControl/>
        <w:spacing w:line="580" w:lineRule="exact"/>
        <w:ind w:firstLine="640"/>
        <w:jc w:val="left"/>
        <w:rPr>
          <w:rFonts w:ascii="楷体_GB2312" w:eastAsia="楷体_GB2312"/>
          <w:b/>
          <w:sz w:val="32"/>
          <w:szCs w:val="30"/>
        </w:rPr>
      </w:pPr>
    </w:p>
    <w:p>
      <w:pPr>
        <w:pStyle w:val="4"/>
        <w:shd w:val="clear" w:color="auto" w:fill="FFFFFF"/>
        <w:spacing w:before="0" w:beforeAutospacing="0" w:after="0" w:afterAutospacing="0" w:line="560" w:lineRule="exact"/>
        <w:ind w:firstLine="643" w:firstLineChars="200"/>
        <w:rPr>
          <w:rFonts w:ascii="楷体_GB2312" w:hAnsi="Calibri" w:eastAsia="楷体_GB2312"/>
          <w:b/>
          <w:sz w:val="32"/>
          <w:szCs w:val="32"/>
          <w:lang w:eastAsia="zh-CN"/>
        </w:rPr>
      </w:pPr>
      <w:r>
        <w:rPr>
          <w:rFonts w:hint="eastAsia" w:ascii="楷体_GB2312" w:hAnsi="Calibri" w:eastAsia="楷体_GB2312"/>
          <w:b/>
          <w:sz w:val="32"/>
          <w:szCs w:val="32"/>
        </w:rPr>
        <w:t>二、</w:t>
      </w:r>
      <w:r>
        <w:rPr>
          <w:rFonts w:hint="eastAsia" w:ascii="楷体_GB2312" w:hAnsi="Calibri" w:eastAsia="楷体_GB2312"/>
          <w:b/>
          <w:sz w:val="32"/>
          <w:szCs w:val="32"/>
          <w:lang w:eastAsia="zh-CN"/>
        </w:rPr>
        <w:t>卫健委本级</w:t>
      </w:r>
      <w:r>
        <w:rPr>
          <w:rFonts w:hint="eastAsia" w:ascii="楷体_GB2312" w:hAnsi="Calibri" w:eastAsia="楷体_GB2312"/>
          <w:b/>
          <w:sz w:val="32"/>
          <w:szCs w:val="32"/>
        </w:rPr>
        <w:t>基本情况</w:t>
      </w:r>
    </w:p>
    <w:p>
      <w:pPr>
        <w:pStyle w:val="4"/>
        <w:shd w:val="clear" w:color="auto" w:fill="FFFFFF"/>
        <w:spacing w:before="0" w:beforeAutospacing="0" w:after="0" w:afterAutospacing="0" w:line="560" w:lineRule="exact"/>
        <w:ind w:firstLine="600" w:firstLineChars="200"/>
        <w:rPr>
          <w:rFonts w:ascii="仿宋_GB2312" w:hAnsi="仿宋" w:eastAsia="仿宋_GB2312"/>
          <w:sz w:val="30"/>
          <w:szCs w:val="30"/>
          <w:lang w:eastAsia="zh-CN"/>
        </w:rPr>
      </w:pPr>
      <w:r>
        <w:rPr>
          <w:rFonts w:hint="eastAsia" w:ascii="仿宋_GB2312" w:hAnsi="仿宋" w:eastAsia="仿宋_GB2312"/>
          <w:sz w:val="30"/>
          <w:szCs w:val="30"/>
          <w:lang w:eastAsia="zh-CN"/>
        </w:rPr>
        <w:t>上饶市广丰区卫生健康委员会下设19个股室和2个中心，卫健委机关办公室、党办、财务审计股、医政医管股、综合监督股、职业健康股、中医股、体改股、疾控股（应急办）、妇幼健康股、基层股、人口监测与家庭发展股、行政服务股、会计核算中心、老龄办、计生协会办、卫生城市创建指导中心、工会、血地办、计生协会、流管站、</w:t>
      </w:r>
    </w:p>
    <w:p>
      <w:pPr>
        <w:pStyle w:val="4"/>
        <w:shd w:val="clear" w:color="auto" w:fill="FFFFFF"/>
        <w:spacing w:before="0" w:beforeAutospacing="0" w:after="0" w:afterAutospacing="0" w:line="580" w:lineRule="atLeast"/>
        <w:ind w:firstLine="640"/>
        <w:rPr>
          <w:rFonts w:ascii="仿宋_GB2312" w:eastAsia="仿宋_GB2312"/>
          <w:sz w:val="30"/>
          <w:szCs w:val="30"/>
          <w:lang w:eastAsia="zh-CN"/>
        </w:rPr>
      </w:pPr>
      <w:r>
        <w:rPr>
          <w:rFonts w:hint="eastAsia" w:ascii="仿宋_GB2312" w:eastAsia="仿宋_GB2312"/>
          <w:sz w:val="30"/>
          <w:szCs w:val="30"/>
        </w:rPr>
        <w:t>编制数</w:t>
      </w:r>
      <w:r>
        <w:rPr>
          <w:rFonts w:hint="eastAsia" w:ascii="仿宋_GB2312" w:eastAsia="仿宋_GB2312"/>
          <w:sz w:val="30"/>
          <w:szCs w:val="30"/>
          <w:lang w:eastAsia="zh-CN"/>
        </w:rPr>
        <w:t>44</w:t>
      </w:r>
      <w:r>
        <w:rPr>
          <w:rFonts w:hint="eastAsia" w:ascii="仿宋_GB2312" w:eastAsia="仿宋_GB2312"/>
          <w:sz w:val="30"/>
          <w:szCs w:val="30"/>
        </w:rPr>
        <w:t>人，其中：行政编制</w:t>
      </w:r>
      <w:r>
        <w:rPr>
          <w:rFonts w:hint="eastAsia" w:ascii="仿宋_GB2312" w:eastAsia="仿宋_GB2312"/>
          <w:sz w:val="30"/>
          <w:szCs w:val="30"/>
          <w:lang w:eastAsia="zh-CN"/>
        </w:rPr>
        <w:t>20</w:t>
      </w:r>
      <w:r>
        <w:rPr>
          <w:rFonts w:hint="eastAsia" w:ascii="仿宋_GB2312" w:eastAsia="仿宋_GB2312"/>
          <w:sz w:val="30"/>
          <w:szCs w:val="30"/>
        </w:rPr>
        <w:t>人，</w:t>
      </w:r>
      <w:r>
        <w:rPr>
          <w:rFonts w:hint="eastAsia" w:ascii="仿宋_GB2312" w:eastAsia="仿宋_GB2312"/>
          <w:sz w:val="30"/>
          <w:szCs w:val="30"/>
          <w:lang w:eastAsia="zh-CN"/>
        </w:rPr>
        <w:t>机关工勤人员1人，</w:t>
      </w:r>
      <w:r>
        <w:rPr>
          <w:rFonts w:hint="eastAsia" w:ascii="仿宋_GB2312" w:eastAsia="仿宋_GB2312"/>
          <w:sz w:val="30"/>
          <w:szCs w:val="30"/>
        </w:rPr>
        <w:t>参照公务员管理的事业编制</w:t>
      </w:r>
      <w:r>
        <w:rPr>
          <w:rFonts w:hint="eastAsia" w:ascii="仿宋_GB2312" w:eastAsia="仿宋_GB2312"/>
          <w:sz w:val="30"/>
          <w:szCs w:val="30"/>
          <w:lang w:eastAsia="zh-CN"/>
        </w:rPr>
        <w:t>0</w:t>
      </w:r>
      <w:r>
        <w:rPr>
          <w:rFonts w:hint="eastAsia" w:ascii="仿宋_GB2312" w:eastAsia="仿宋_GB2312"/>
          <w:sz w:val="30"/>
          <w:szCs w:val="30"/>
        </w:rPr>
        <w:t>人，全部补助事业编制</w:t>
      </w:r>
      <w:r>
        <w:rPr>
          <w:rFonts w:hint="eastAsia" w:ascii="仿宋_GB2312" w:eastAsia="仿宋_GB2312"/>
          <w:sz w:val="30"/>
          <w:szCs w:val="30"/>
          <w:lang w:eastAsia="zh-CN"/>
        </w:rPr>
        <w:t>23</w:t>
      </w:r>
      <w:r>
        <w:rPr>
          <w:rFonts w:hint="eastAsia" w:ascii="仿宋_GB2312" w:eastAsia="仿宋_GB2312"/>
          <w:sz w:val="30"/>
          <w:szCs w:val="30"/>
        </w:rPr>
        <w:t>人</w:t>
      </w:r>
      <w:r>
        <w:rPr>
          <w:rFonts w:hint="eastAsia" w:ascii="仿宋_GB2312" w:eastAsia="仿宋_GB2312"/>
          <w:sz w:val="30"/>
          <w:szCs w:val="30"/>
          <w:lang w:eastAsia="zh-CN"/>
        </w:rPr>
        <w:t>。</w:t>
      </w:r>
    </w:p>
    <w:p>
      <w:pPr>
        <w:rPr>
          <w:rFonts w:ascii="仿宋_GB2312" w:hAnsi="黑体" w:eastAsia="仿宋_GB2312"/>
          <w:sz w:val="32"/>
          <w:szCs w:val="32"/>
        </w:rPr>
      </w:pPr>
      <w:r>
        <w:rPr>
          <w:rFonts w:hint="eastAsia" w:ascii="仿宋_GB2312" w:eastAsia="仿宋_GB2312"/>
          <w:sz w:val="30"/>
          <w:szCs w:val="30"/>
        </w:rPr>
        <w:t>实有人数43人，其中在职人数37人，行政人员16人，全部补助事业人员21人，聘用人员6人；退休人员73人；离休人员0人，遗属人数3人。</w:t>
      </w:r>
    </w:p>
    <w:p>
      <w:pPr>
        <w:widowControl/>
        <w:spacing w:line="580" w:lineRule="exact"/>
        <w:ind w:firstLine="640"/>
        <w:jc w:val="left"/>
        <w:rPr>
          <w:rFonts w:ascii="楷体_GB2312" w:hAnsi="Calibri" w:eastAsia="楷体_GB2312" w:cs="宋体"/>
          <w:b/>
          <w:kern w:val="0"/>
          <w:sz w:val="32"/>
          <w:szCs w:val="32"/>
        </w:rPr>
      </w:pPr>
    </w:p>
    <w:p>
      <w:pPr>
        <w:widowControl/>
        <w:spacing w:line="580" w:lineRule="exact"/>
        <w:jc w:val="center"/>
        <w:rPr>
          <w:rFonts w:ascii="仿宋_GB2312" w:eastAsia="仿宋_GB2312"/>
          <w:b/>
          <w:sz w:val="32"/>
          <w:szCs w:val="30"/>
        </w:rPr>
      </w:pPr>
      <w:r>
        <w:rPr>
          <w:rFonts w:hint="eastAsia" w:ascii="仿宋_GB2312" w:hAnsi="Calibri" w:eastAsia="仿宋_GB2312" w:cs="宋体"/>
          <w:b/>
          <w:kern w:val="0"/>
          <w:sz w:val="32"/>
          <w:szCs w:val="32"/>
        </w:rPr>
        <w:t xml:space="preserve">第二部分  </w:t>
      </w:r>
      <w:r>
        <w:rPr>
          <w:rFonts w:hint="eastAsia" w:ascii="仿宋_GB2312" w:eastAsia="仿宋_GB2312"/>
          <w:b/>
          <w:sz w:val="32"/>
          <w:szCs w:val="30"/>
        </w:rPr>
        <w:t>上饶市广丰区卫健系统部门2022年部门预算情况说明</w:t>
      </w:r>
    </w:p>
    <w:p>
      <w:pPr>
        <w:widowControl/>
        <w:spacing w:line="580" w:lineRule="exact"/>
        <w:jc w:val="center"/>
        <w:rPr>
          <w:rFonts w:ascii="仿宋_GB2312" w:eastAsia="仿宋_GB2312"/>
          <w:b/>
          <w:sz w:val="32"/>
          <w:szCs w:val="30"/>
        </w:rPr>
      </w:pPr>
    </w:p>
    <w:p>
      <w:pPr>
        <w:widowControl/>
        <w:spacing w:line="580" w:lineRule="exact"/>
        <w:ind w:firstLine="643" w:firstLineChars="200"/>
        <w:jc w:val="left"/>
        <w:rPr>
          <w:rFonts w:ascii="楷体_GB2312" w:eastAsia="楷体_GB2312"/>
          <w:b/>
          <w:sz w:val="32"/>
          <w:szCs w:val="30"/>
        </w:rPr>
      </w:pPr>
      <w:r>
        <w:rPr>
          <w:rFonts w:hint="eastAsia" w:ascii="楷体_GB2312" w:eastAsia="楷体_GB2312"/>
          <w:b/>
          <w:sz w:val="32"/>
          <w:szCs w:val="30"/>
        </w:rPr>
        <w:t>一、2022年部门预算收支情况说明</w:t>
      </w:r>
    </w:p>
    <w:p>
      <w:pPr>
        <w:widowControl/>
        <w:spacing w:line="580" w:lineRule="exact"/>
        <w:ind w:firstLine="640"/>
        <w:jc w:val="left"/>
        <w:rPr>
          <w:rFonts w:ascii="仿宋_GB2312" w:eastAsia="仿宋_GB2312"/>
          <w:b/>
          <w:sz w:val="32"/>
          <w:szCs w:val="30"/>
        </w:rPr>
      </w:pPr>
      <w:r>
        <w:rPr>
          <w:rFonts w:hint="eastAsia" w:ascii="仿宋_GB2312" w:eastAsia="仿宋_GB2312"/>
          <w:b/>
          <w:sz w:val="32"/>
          <w:szCs w:val="30"/>
        </w:rPr>
        <w:t>（一）收入预算情况</w:t>
      </w:r>
    </w:p>
    <w:p>
      <w:pPr>
        <w:pStyle w:val="4"/>
        <w:shd w:val="clear" w:color="auto" w:fill="FFFFFF"/>
        <w:spacing w:before="0" w:beforeAutospacing="0" w:after="0" w:afterAutospacing="0" w:line="600" w:lineRule="atLeast"/>
        <w:ind w:firstLine="645"/>
        <w:jc w:val="both"/>
        <w:rPr>
          <w:rFonts w:ascii="仿宋_GB2312" w:hAnsi="Times New Roman" w:eastAsia="仿宋_GB2312" w:cs="Times New Roman"/>
          <w:sz w:val="30"/>
          <w:szCs w:val="30"/>
        </w:rPr>
      </w:pPr>
      <w:r>
        <w:rPr>
          <w:rFonts w:hint="eastAsia" w:ascii="仿宋_GB2312" w:hAnsi="Times New Roman" w:eastAsia="仿宋_GB2312" w:cs="Times New Roman"/>
          <w:sz w:val="30"/>
          <w:szCs w:val="30"/>
        </w:rPr>
        <w:t>20</w:t>
      </w:r>
      <w:r>
        <w:rPr>
          <w:rFonts w:hint="eastAsia" w:ascii="仿宋_GB2312" w:hAnsi="Times New Roman" w:eastAsia="仿宋_GB2312" w:cs="Times New Roman"/>
          <w:sz w:val="30"/>
          <w:szCs w:val="30"/>
          <w:lang w:eastAsia="zh-CN"/>
        </w:rPr>
        <w:t>22</w:t>
      </w:r>
      <w:r>
        <w:rPr>
          <w:rFonts w:hint="eastAsia" w:ascii="仿宋_GB2312" w:hAnsi="Times New Roman" w:eastAsia="仿宋_GB2312" w:cs="Times New Roman"/>
          <w:sz w:val="30"/>
          <w:szCs w:val="30"/>
        </w:rPr>
        <w:t>年上饶市</w:t>
      </w:r>
      <w:r>
        <w:rPr>
          <w:rFonts w:hint="eastAsia" w:ascii="仿宋_GB2312" w:hAnsi="Times New Roman" w:eastAsia="仿宋_GB2312" w:cs="Times New Roman"/>
          <w:sz w:val="30"/>
          <w:szCs w:val="30"/>
          <w:lang w:eastAsia="zh-CN"/>
        </w:rPr>
        <w:t>广丰区</w:t>
      </w:r>
      <w:r>
        <w:rPr>
          <w:rFonts w:hint="eastAsia" w:ascii="仿宋_GB2312" w:hAnsi="Times New Roman" w:eastAsia="仿宋_GB2312" w:cs="Times New Roman"/>
          <w:sz w:val="30"/>
          <w:szCs w:val="30"/>
        </w:rPr>
        <w:t>卫生和计划生育委员会部门收入预算总额为</w:t>
      </w:r>
      <w:r>
        <w:rPr>
          <w:rFonts w:hint="eastAsia" w:ascii="仿宋_GB2312" w:hAnsi="Times New Roman" w:eastAsia="仿宋_GB2312" w:cs="Times New Roman"/>
          <w:sz w:val="30"/>
          <w:szCs w:val="30"/>
          <w:lang w:eastAsia="zh-CN"/>
        </w:rPr>
        <w:t>1298.98万</w:t>
      </w:r>
      <w:r>
        <w:rPr>
          <w:rFonts w:hint="eastAsia" w:ascii="仿宋_GB2312" w:hAnsi="Times New Roman" w:eastAsia="仿宋_GB2312" w:cs="Times New Roman"/>
          <w:sz w:val="30"/>
          <w:szCs w:val="30"/>
        </w:rPr>
        <w:t>元</w:t>
      </w:r>
      <w:r>
        <w:rPr>
          <w:rFonts w:hint="eastAsia" w:ascii="仿宋_GB2312" w:hAnsi="Times New Roman" w:eastAsia="仿宋_GB2312" w:cs="Times New Roman"/>
          <w:sz w:val="30"/>
          <w:szCs w:val="30"/>
          <w:lang w:eastAsia="zh-CN"/>
        </w:rPr>
        <w:t>，上年结转余1813.87万元（财政拨款经费）</w:t>
      </w:r>
      <w:r>
        <w:rPr>
          <w:rFonts w:hint="eastAsia" w:ascii="仿宋_GB2312" w:hAnsi="Times New Roman" w:eastAsia="仿宋_GB2312" w:cs="Times New Roman"/>
          <w:sz w:val="30"/>
          <w:szCs w:val="30"/>
        </w:rPr>
        <w:t>。其中：财政拨款收入</w:t>
      </w:r>
      <w:r>
        <w:rPr>
          <w:rFonts w:hint="eastAsia" w:ascii="仿宋_GB2312" w:hAnsi="Times New Roman" w:eastAsia="仿宋_GB2312" w:cs="Times New Roman"/>
          <w:sz w:val="30"/>
          <w:szCs w:val="30"/>
          <w:lang w:eastAsia="zh-CN"/>
        </w:rPr>
        <w:t>349.9</w:t>
      </w:r>
      <w:r>
        <w:rPr>
          <w:rFonts w:hint="eastAsia" w:ascii="仿宋_GB2312" w:hAnsi="Times New Roman" w:eastAsia="仿宋_GB2312" w:cs="Times New Roman"/>
          <w:sz w:val="30"/>
          <w:szCs w:val="30"/>
        </w:rPr>
        <w:t>万元，占</w:t>
      </w:r>
      <w:r>
        <w:rPr>
          <w:rFonts w:hint="eastAsia" w:ascii="仿宋_GB2312" w:hAnsi="Times New Roman" w:eastAsia="仿宋_GB2312" w:cs="Times New Roman"/>
          <w:sz w:val="30"/>
          <w:szCs w:val="30"/>
          <w:lang w:eastAsia="zh-CN"/>
        </w:rPr>
        <w:t>26.93%。较2021年增加349.9万元，因为2021年收入未单列财政拨款项，全部列在上级补助金额里。</w:t>
      </w:r>
      <w:r>
        <w:rPr>
          <w:rFonts w:hint="eastAsia" w:ascii="仿宋_GB2312" w:hAnsi="Times New Roman" w:eastAsia="仿宋_GB2312" w:cs="Times New Roman"/>
          <w:sz w:val="30"/>
          <w:szCs w:val="30"/>
        </w:rPr>
        <w:t>事业收入</w:t>
      </w:r>
      <w:r>
        <w:rPr>
          <w:rFonts w:hint="eastAsia" w:ascii="仿宋_GB2312" w:hAnsi="Times New Roman" w:eastAsia="仿宋_GB2312" w:cs="Times New Roman"/>
          <w:sz w:val="30"/>
          <w:szCs w:val="30"/>
          <w:lang w:eastAsia="zh-CN"/>
        </w:rPr>
        <w:t>0</w:t>
      </w:r>
      <w:r>
        <w:rPr>
          <w:rFonts w:hint="eastAsia" w:ascii="仿宋_GB2312" w:hAnsi="Times New Roman" w:eastAsia="仿宋_GB2312" w:cs="Times New Roman"/>
          <w:sz w:val="30"/>
          <w:szCs w:val="30"/>
        </w:rPr>
        <w:t>万元，占</w:t>
      </w:r>
      <w:r>
        <w:rPr>
          <w:rFonts w:hint="eastAsia" w:ascii="仿宋_GB2312" w:hAnsi="Times New Roman" w:eastAsia="仿宋_GB2312" w:cs="Times New Roman"/>
          <w:sz w:val="30"/>
          <w:szCs w:val="30"/>
          <w:lang w:eastAsia="zh-CN"/>
        </w:rPr>
        <w:t>0%，较上年无变化，因为卫健委属于行政单位，无事业收入;上级补助0万元，占0%，较</w:t>
      </w:r>
      <w:bookmarkStart w:id="0" w:name="_GoBack"/>
      <w:bookmarkEnd w:id="0"/>
      <w:r>
        <w:rPr>
          <w:rFonts w:hint="eastAsia" w:ascii="仿宋_GB2312" w:hAnsi="Times New Roman" w:eastAsia="仿宋_GB2312" w:cs="Times New Roman"/>
          <w:sz w:val="30"/>
          <w:szCs w:val="30"/>
          <w:lang w:eastAsia="zh-CN"/>
        </w:rPr>
        <w:t>上年减少5463.8万元，原因：2022年未单列上级补助项目，下属单位的上级补助资金，列在每个单位的预算里，上级主管部门未单列预算。其他收入949.07万元；占73.07%，较2021年增加949.07万元。因为2021年未单列其他收入，全部按上级补助资金列预算。用事业基金弥补收入差额0万元。</w:t>
      </w:r>
    </w:p>
    <w:p>
      <w:pPr>
        <w:widowControl/>
        <w:spacing w:line="580" w:lineRule="exact"/>
        <w:ind w:firstLine="640"/>
        <w:jc w:val="left"/>
        <w:rPr>
          <w:rFonts w:ascii="仿宋_GB2312" w:eastAsia="仿宋_GB2312"/>
          <w:b/>
          <w:sz w:val="32"/>
          <w:szCs w:val="30"/>
        </w:rPr>
      </w:pPr>
      <w:r>
        <w:rPr>
          <w:rFonts w:hint="eastAsia" w:ascii="仿宋_GB2312" w:eastAsia="仿宋_GB2312"/>
          <w:b/>
          <w:sz w:val="32"/>
          <w:szCs w:val="30"/>
        </w:rPr>
        <w:t>（二）支出预算情况</w:t>
      </w:r>
    </w:p>
    <w:p>
      <w:pPr>
        <w:spacing w:line="576" w:lineRule="exact"/>
        <w:ind w:firstLine="645"/>
        <w:rPr>
          <w:rFonts w:ascii="仿宋_GB2312" w:hAnsi="仿宋_GB2312" w:eastAsia="仿宋_GB2312" w:cs="仿宋_GB2312"/>
          <w:sz w:val="32"/>
          <w:szCs w:val="32"/>
        </w:rPr>
      </w:pPr>
      <w:r>
        <w:rPr>
          <w:rFonts w:hint="eastAsia" w:ascii="仿宋_GB2312" w:eastAsia="仿宋_GB2312"/>
          <w:sz w:val="30"/>
          <w:szCs w:val="30"/>
        </w:rPr>
        <w:t>2022年上饶市广丰区卫生健康委员会部门支出预算总额为3112.84万元。较2021年减少2802.82万元，主要原因：2022年下属各单位的项目支出列在各单位自己的支出预算里，未列入主管部门的本级预算支出里，导致2022年的支出预算较往年对比减少。</w:t>
      </w:r>
      <w:r>
        <w:rPr>
          <w:rFonts w:hint="eastAsia" w:ascii="仿宋_GB2312" w:hAnsi="仿宋_GB2312" w:eastAsia="仿宋_GB2312" w:cs="仿宋_GB2312"/>
          <w:sz w:val="32"/>
          <w:szCs w:val="32"/>
        </w:rPr>
        <w:t>按支出项目类别划分：基本支出81363.64万元，项目支出15314.48万元。</w:t>
      </w:r>
    </w:p>
    <w:p>
      <w:pPr>
        <w:spacing w:line="576"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按支出功能科目划分：一般卫生健康支出</w:t>
      </w:r>
      <w:r>
        <w:rPr>
          <w:rFonts w:hint="eastAsia" w:ascii="仿宋_GB2312" w:hAnsi="仿宋" w:eastAsia="仿宋_GB2312"/>
          <w:sz w:val="32"/>
          <w:szCs w:val="32"/>
        </w:rPr>
        <w:t>3112.84</w:t>
      </w:r>
      <w:r>
        <w:rPr>
          <w:rFonts w:hint="eastAsia" w:ascii="仿宋_GB2312" w:hAnsi="仿宋_GB2312" w:eastAsia="仿宋_GB2312" w:cs="仿宋_GB2312"/>
          <w:sz w:val="32"/>
          <w:szCs w:val="32"/>
        </w:rPr>
        <w:t>万元，其中基本支出1443万元，项目支出1669.85万元</w:t>
      </w:r>
      <w:r>
        <w:rPr>
          <w:rFonts w:hint="eastAsia" w:ascii="仿宋_GB2312" w:hAnsi="仿宋" w:eastAsia="仿宋_GB2312"/>
          <w:sz w:val="32"/>
          <w:szCs w:val="32"/>
        </w:rPr>
        <w:t>。</w:t>
      </w:r>
    </w:p>
    <w:p>
      <w:pPr>
        <w:spacing w:line="576" w:lineRule="exact"/>
        <w:ind w:firstLine="645"/>
        <w:rPr>
          <w:rFonts w:ascii="仿宋_GB2312" w:hAnsi="仿宋_GB2312" w:eastAsia="仿宋_GB2312" w:cs="仿宋_GB2312"/>
          <w:sz w:val="32"/>
          <w:szCs w:val="32"/>
        </w:rPr>
      </w:pPr>
      <w:r>
        <w:rPr>
          <w:rFonts w:hint="eastAsia" w:ascii="仿宋_GB2312" w:hAnsi="仿宋" w:eastAsia="仿宋_GB2312"/>
          <w:sz w:val="32"/>
          <w:szCs w:val="32"/>
        </w:rPr>
        <w:t>按支出经济分类划分：工资福利支出1099.98万元，商品和服务支出1735.52万元,对个人和家庭的补助211.06万元，资本性支出20万元，其他相关支出46.28万元</w:t>
      </w:r>
      <w:r>
        <w:rPr>
          <w:rFonts w:hint="eastAsia" w:ascii="仿宋_GB2312" w:hAnsi="仿宋_GB2312" w:eastAsia="仿宋_GB2312" w:cs="仿宋_GB2312"/>
          <w:sz w:val="32"/>
          <w:szCs w:val="32"/>
        </w:rPr>
        <w:t>。</w:t>
      </w:r>
    </w:p>
    <w:p>
      <w:pPr>
        <w:ind w:firstLine="640"/>
        <w:rPr>
          <w:rFonts w:ascii="仿宋_GB2312" w:eastAsia="仿宋_GB2312"/>
          <w:sz w:val="30"/>
          <w:szCs w:val="30"/>
        </w:rPr>
      </w:pPr>
    </w:p>
    <w:p>
      <w:pPr>
        <w:widowControl/>
        <w:spacing w:line="580" w:lineRule="exact"/>
        <w:ind w:firstLine="640"/>
        <w:jc w:val="left"/>
        <w:rPr>
          <w:rFonts w:ascii="仿宋_GB2312" w:eastAsia="仿宋_GB2312"/>
          <w:b/>
          <w:sz w:val="32"/>
          <w:szCs w:val="30"/>
        </w:rPr>
      </w:pPr>
      <w:r>
        <w:rPr>
          <w:rFonts w:hint="eastAsia" w:ascii="仿宋_GB2312" w:eastAsia="仿宋_GB2312"/>
          <w:b/>
          <w:sz w:val="32"/>
          <w:szCs w:val="30"/>
        </w:rPr>
        <w:t>（三）财政拨款支出情况</w:t>
      </w:r>
    </w:p>
    <w:p>
      <w:pPr>
        <w:widowControl/>
        <w:spacing w:line="580" w:lineRule="exact"/>
        <w:ind w:firstLine="640"/>
        <w:jc w:val="left"/>
        <w:rPr>
          <w:rFonts w:ascii="仿宋_GB2312" w:eastAsia="仿宋_GB2312"/>
          <w:b/>
          <w:sz w:val="32"/>
          <w:szCs w:val="30"/>
        </w:rPr>
      </w:pPr>
      <w:r>
        <w:rPr>
          <w:rStyle w:val="8"/>
          <w:rFonts w:hint="eastAsia" w:ascii="仿宋_GB2312" w:eastAsia="仿宋_GB2312"/>
          <w:sz w:val="30"/>
          <w:szCs w:val="30"/>
        </w:rPr>
        <w:t> </w:t>
      </w:r>
      <w:r>
        <w:rPr>
          <w:rFonts w:hint="eastAsia" w:ascii="仿宋_GB2312" w:eastAsia="仿宋_GB2312"/>
          <w:sz w:val="30"/>
          <w:szCs w:val="30"/>
        </w:rPr>
        <w:t>2022年上饶市广丰区卫生健康委员会部门财政拨款支出预算总额为349.9万元。较2021年增加349.9万，主要原因：2021年做预算时把财政拨款金额与上级补助金额未区分。</w:t>
      </w:r>
    </w:p>
    <w:p>
      <w:pPr>
        <w:widowControl/>
        <w:spacing w:line="580" w:lineRule="exact"/>
        <w:ind w:firstLine="640"/>
        <w:jc w:val="left"/>
        <w:rPr>
          <w:rFonts w:ascii="仿宋_GB2312" w:eastAsia="仿宋_GB2312"/>
          <w:b/>
          <w:sz w:val="32"/>
          <w:szCs w:val="30"/>
        </w:rPr>
      </w:pPr>
      <w:r>
        <w:rPr>
          <w:rFonts w:hint="eastAsia" w:ascii="仿宋_GB2312" w:eastAsia="仿宋_GB2312"/>
          <w:b/>
          <w:sz w:val="32"/>
          <w:szCs w:val="30"/>
        </w:rPr>
        <w:t>（四）政府性基金情况</w:t>
      </w:r>
    </w:p>
    <w:p>
      <w:pPr>
        <w:spacing w:line="580" w:lineRule="exact"/>
        <w:ind w:firstLine="600" w:firstLineChars="200"/>
        <w:rPr>
          <w:rFonts w:ascii="仿宋_GB2312" w:eastAsia="仿宋_GB2312"/>
          <w:sz w:val="30"/>
          <w:szCs w:val="30"/>
        </w:rPr>
      </w:pPr>
      <w:r>
        <w:rPr>
          <w:rFonts w:hint="eastAsia" w:ascii="仿宋_GB2312" w:eastAsia="仿宋_GB2312"/>
          <w:color w:val="000000"/>
          <w:sz w:val="30"/>
          <w:szCs w:val="30"/>
        </w:rPr>
        <w:t>2022年</w:t>
      </w:r>
      <w:r>
        <w:rPr>
          <w:rFonts w:hint="eastAsia" w:ascii="仿宋_GB2312" w:eastAsia="仿宋_GB2312"/>
          <w:sz w:val="30"/>
          <w:szCs w:val="30"/>
        </w:rPr>
        <w:t>无政府性基金预算拨款安排的支出</w:t>
      </w:r>
    </w:p>
    <w:p>
      <w:pPr>
        <w:widowControl/>
        <w:spacing w:line="580" w:lineRule="exact"/>
        <w:ind w:firstLine="640"/>
        <w:jc w:val="left"/>
        <w:rPr>
          <w:rFonts w:ascii="仿宋_GB2312" w:eastAsia="仿宋_GB2312"/>
          <w:b/>
          <w:sz w:val="32"/>
          <w:szCs w:val="30"/>
        </w:rPr>
      </w:pPr>
      <w:r>
        <w:rPr>
          <w:rFonts w:hint="eastAsia" w:ascii="仿宋_GB2312" w:eastAsia="仿宋_GB2312"/>
          <w:b/>
          <w:sz w:val="32"/>
          <w:szCs w:val="30"/>
        </w:rPr>
        <w:t>（五）国有资本经营情况</w:t>
      </w:r>
    </w:p>
    <w:p>
      <w:pPr>
        <w:widowControl/>
        <w:spacing w:line="580" w:lineRule="exact"/>
        <w:ind w:firstLine="640"/>
        <w:jc w:val="left"/>
        <w:rPr>
          <w:rFonts w:ascii="仿宋_GB2312" w:eastAsia="仿宋_GB2312"/>
          <w:sz w:val="32"/>
          <w:szCs w:val="30"/>
        </w:rPr>
      </w:pPr>
      <w:r>
        <w:rPr>
          <w:rFonts w:hint="eastAsia" w:ascii="仿宋_GB2312" w:eastAsia="仿宋_GB2312"/>
          <w:sz w:val="32"/>
          <w:szCs w:val="30"/>
        </w:rPr>
        <w:t>本单位无国有资本经营情况预算。</w:t>
      </w:r>
    </w:p>
    <w:p>
      <w:pPr>
        <w:widowControl/>
        <w:spacing w:line="580" w:lineRule="exact"/>
        <w:ind w:firstLine="640"/>
        <w:jc w:val="left"/>
        <w:rPr>
          <w:rFonts w:ascii="仿宋_GB2312" w:eastAsia="仿宋_GB2312"/>
          <w:b/>
          <w:sz w:val="32"/>
          <w:szCs w:val="30"/>
        </w:rPr>
      </w:pPr>
      <w:r>
        <w:rPr>
          <w:rFonts w:hint="eastAsia" w:ascii="仿宋_GB2312" w:eastAsia="仿宋_GB2312"/>
          <w:b/>
          <w:sz w:val="32"/>
          <w:szCs w:val="30"/>
        </w:rPr>
        <w:t>（六）机关运行经费等重要事项的说明</w:t>
      </w:r>
    </w:p>
    <w:p>
      <w:pPr>
        <w:widowControl/>
        <w:spacing w:line="580" w:lineRule="exact"/>
        <w:ind w:firstLine="636"/>
        <w:jc w:val="left"/>
        <w:rPr>
          <w:rFonts w:ascii="仿宋_GB2312" w:eastAsia="仿宋_GB2312"/>
          <w:sz w:val="32"/>
          <w:szCs w:val="30"/>
          <w:u w:val="single"/>
        </w:rPr>
      </w:pPr>
      <w:r>
        <w:rPr>
          <w:rFonts w:hint="eastAsia" w:ascii="仿宋_GB2312" w:eastAsia="仿宋_GB2312"/>
          <w:sz w:val="32"/>
          <w:szCs w:val="30"/>
        </w:rPr>
        <w:t>2022年部门机关运行费预算</w:t>
      </w:r>
      <w:r>
        <w:rPr>
          <w:rFonts w:hint="eastAsia" w:ascii="仿宋_GB2312" w:eastAsia="仿宋_GB2312"/>
          <w:sz w:val="32"/>
          <w:szCs w:val="30"/>
          <w:u w:val="single"/>
        </w:rPr>
        <w:t xml:space="preserve"> 463.8     </w:t>
      </w:r>
      <w:r>
        <w:rPr>
          <w:rFonts w:hint="eastAsia" w:ascii="仿宋_GB2312" w:eastAsia="仿宋_GB2312"/>
          <w:sz w:val="32"/>
          <w:szCs w:val="30"/>
        </w:rPr>
        <w:t>万元，比2021年预算增加</w:t>
      </w:r>
      <w:r>
        <w:rPr>
          <w:rFonts w:hint="eastAsia" w:ascii="仿宋_GB2312" w:eastAsia="仿宋_GB2312"/>
          <w:sz w:val="32"/>
          <w:szCs w:val="30"/>
          <w:u w:val="single"/>
        </w:rPr>
        <w:t xml:space="preserve">356.8  </w:t>
      </w:r>
      <w:r>
        <w:rPr>
          <w:rFonts w:hint="eastAsia" w:ascii="仿宋_GB2312" w:eastAsia="仿宋_GB2312"/>
          <w:sz w:val="32"/>
          <w:szCs w:val="30"/>
        </w:rPr>
        <w:t>万元，增长433%。主要原因：受疫情影响，各种宣传费用印刷费增加，下属单位防控疫情的各种宣传和短信通知均由卫健委本级预算列支出。公用经费483.8万元，其中办公费36万元，印刷费280.5万元，水费2.5万元，电费4.8万元，差旅费8.2万元，会议费5万元，公务接待费30万元，工会费16.8万元，其他商品和服务费80万元，其他资本性支出20万元。</w:t>
      </w:r>
    </w:p>
    <w:p>
      <w:pPr>
        <w:widowControl/>
        <w:spacing w:line="580" w:lineRule="exact"/>
        <w:ind w:firstLine="640"/>
        <w:jc w:val="left"/>
        <w:rPr>
          <w:rFonts w:ascii="仿宋_GB2312" w:eastAsia="仿宋_GB2312"/>
          <w:b/>
          <w:sz w:val="32"/>
          <w:szCs w:val="30"/>
        </w:rPr>
      </w:pPr>
      <w:r>
        <w:rPr>
          <w:rFonts w:hint="eastAsia" w:ascii="仿宋_GB2312" w:eastAsia="仿宋_GB2312"/>
          <w:b/>
          <w:sz w:val="32"/>
          <w:szCs w:val="30"/>
        </w:rPr>
        <w:t>（七）政府采购情况</w:t>
      </w:r>
    </w:p>
    <w:p>
      <w:pPr>
        <w:widowControl/>
        <w:spacing w:line="580" w:lineRule="exact"/>
        <w:ind w:firstLine="800" w:firstLineChars="250"/>
        <w:jc w:val="left"/>
        <w:rPr>
          <w:rFonts w:ascii="仿宋_GB2312" w:eastAsia="仿宋_GB2312"/>
          <w:sz w:val="32"/>
          <w:szCs w:val="30"/>
        </w:rPr>
      </w:pPr>
      <w:r>
        <w:rPr>
          <w:rFonts w:hint="eastAsia" w:ascii="仿宋_GB2312" w:eastAsia="仿宋_GB2312"/>
          <w:sz w:val="32"/>
          <w:szCs w:val="30"/>
        </w:rPr>
        <w:t>2022年部门所属各单位政府采购总额</w:t>
      </w:r>
      <w:r>
        <w:rPr>
          <w:rFonts w:hint="eastAsia" w:ascii="仿宋_GB2312" w:eastAsia="仿宋_GB2312"/>
          <w:sz w:val="32"/>
          <w:szCs w:val="30"/>
          <w:u w:val="single"/>
        </w:rPr>
        <w:t xml:space="preserve"> 416 </w:t>
      </w:r>
      <w:r>
        <w:rPr>
          <w:rFonts w:hint="eastAsia" w:ascii="仿宋_GB2312" w:eastAsia="仿宋_GB2312"/>
          <w:sz w:val="32"/>
          <w:szCs w:val="30"/>
        </w:rPr>
        <w:t>万元，其中：政府采购货物预算416万元、政府采购工程预算0万元、政府采购服务预算</w:t>
      </w:r>
      <w:r>
        <w:rPr>
          <w:rFonts w:hint="eastAsia" w:ascii="仿宋_GB2312" w:eastAsia="仿宋_GB2312"/>
          <w:sz w:val="32"/>
          <w:szCs w:val="30"/>
          <w:u w:val="single"/>
        </w:rPr>
        <w:t xml:space="preserve">    0  </w:t>
      </w:r>
      <w:r>
        <w:rPr>
          <w:rFonts w:hint="eastAsia" w:ascii="仿宋_GB2312" w:eastAsia="仿宋_GB2312"/>
          <w:sz w:val="32"/>
          <w:szCs w:val="30"/>
        </w:rPr>
        <w:t>万元。</w:t>
      </w:r>
    </w:p>
    <w:p>
      <w:pPr>
        <w:widowControl/>
        <w:spacing w:line="580" w:lineRule="exact"/>
        <w:ind w:firstLine="803" w:firstLineChars="250"/>
        <w:jc w:val="left"/>
        <w:rPr>
          <w:rFonts w:ascii="仿宋_GB2312" w:eastAsia="仿宋_GB2312"/>
          <w:b/>
          <w:sz w:val="32"/>
          <w:szCs w:val="30"/>
        </w:rPr>
      </w:pPr>
      <w:r>
        <w:rPr>
          <w:rFonts w:hint="eastAsia" w:ascii="仿宋_GB2312" w:eastAsia="仿宋_GB2312"/>
          <w:b/>
          <w:sz w:val="32"/>
          <w:szCs w:val="30"/>
        </w:rPr>
        <w:t>（八）国有资产占有使用情况</w:t>
      </w:r>
    </w:p>
    <w:p>
      <w:pPr>
        <w:widowControl/>
        <w:spacing w:line="580" w:lineRule="exact"/>
        <w:ind w:firstLine="800" w:firstLineChars="250"/>
        <w:jc w:val="left"/>
        <w:rPr>
          <w:rFonts w:ascii="仿宋_GB2312" w:eastAsia="仿宋_GB2312"/>
          <w:sz w:val="32"/>
          <w:szCs w:val="30"/>
        </w:rPr>
      </w:pPr>
      <w:r>
        <w:rPr>
          <w:rFonts w:hint="eastAsia" w:ascii="仿宋_GB2312" w:eastAsia="仿宋_GB2312"/>
          <w:sz w:val="32"/>
          <w:szCs w:val="30"/>
        </w:rPr>
        <w:t>截至2021年12月31日，部门共有车辆</w:t>
      </w:r>
      <w:r>
        <w:rPr>
          <w:rFonts w:hint="eastAsia" w:ascii="仿宋_GB2312" w:eastAsia="仿宋_GB2312"/>
          <w:sz w:val="32"/>
          <w:szCs w:val="30"/>
          <w:u w:val="single"/>
        </w:rPr>
        <w:t xml:space="preserve"> 0    </w:t>
      </w:r>
      <w:r>
        <w:rPr>
          <w:rFonts w:hint="eastAsia" w:ascii="仿宋_GB2312" w:eastAsia="仿宋_GB2312"/>
          <w:sz w:val="32"/>
          <w:szCs w:val="30"/>
        </w:rPr>
        <w:t>辆，其中，一般公务用车</w:t>
      </w:r>
      <w:r>
        <w:rPr>
          <w:rFonts w:hint="eastAsia" w:ascii="仿宋_GB2312" w:eastAsia="仿宋_GB2312"/>
          <w:sz w:val="32"/>
          <w:szCs w:val="30"/>
          <w:u w:val="single"/>
        </w:rPr>
        <w:t xml:space="preserve">   0   </w:t>
      </w:r>
      <w:r>
        <w:rPr>
          <w:rFonts w:hint="eastAsia" w:ascii="仿宋_GB2312" w:eastAsia="仿宋_GB2312"/>
          <w:sz w:val="32"/>
          <w:szCs w:val="30"/>
        </w:rPr>
        <w:t>辆，执法执勤用车</w:t>
      </w:r>
      <w:r>
        <w:rPr>
          <w:rFonts w:hint="eastAsia" w:ascii="仿宋_GB2312" w:eastAsia="仿宋_GB2312"/>
          <w:sz w:val="32"/>
          <w:szCs w:val="30"/>
          <w:u w:val="single"/>
        </w:rPr>
        <w:t xml:space="preserve">    0 </w:t>
      </w:r>
      <w:r>
        <w:rPr>
          <w:rFonts w:hint="eastAsia" w:ascii="仿宋_GB2312" w:eastAsia="仿宋_GB2312"/>
          <w:sz w:val="32"/>
          <w:szCs w:val="30"/>
        </w:rPr>
        <w:t>辆。</w:t>
      </w:r>
    </w:p>
    <w:p>
      <w:pPr>
        <w:spacing w:line="600" w:lineRule="exact"/>
        <w:ind w:firstLine="800" w:firstLineChars="250"/>
        <w:rPr>
          <w:rFonts w:ascii="仿宋_GB2312" w:eastAsia="仿宋_GB2312"/>
          <w:color w:val="000000"/>
          <w:sz w:val="32"/>
          <w:szCs w:val="30"/>
        </w:rPr>
      </w:pPr>
      <w:r>
        <w:rPr>
          <w:rFonts w:hint="eastAsia" w:ascii="仿宋_GB2312" w:eastAsia="仿宋_GB2312"/>
          <w:sz w:val="32"/>
          <w:szCs w:val="30"/>
        </w:rPr>
        <w:t>2022年部门预算安排购置车辆</w:t>
      </w:r>
      <w:r>
        <w:rPr>
          <w:rFonts w:hint="eastAsia" w:ascii="仿宋_GB2312" w:eastAsia="仿宋_GB2312"/>
          <w:sz w:val="32"/>
          <w:szCs w:val="30"/>
          <w:u w:val="single"/>
        </w:rPr>
        <w:t xml:space="preserve"> 0     </w:t>
      </w:r>
      <w:r>
        <w:rPr>
          <w:rFonts w:hint="eastAsia" w:ascii="仿宋_GB2312" w:eastAsia="仿宋_GB2312"/>
          <w:sz w:val="32"/>
          <w:szCs w:val="30"/>
        </w:rPr>
        <w:t>辆，安排购置单位价值200万元以上大型设备具体为：</w:t>
      </w:r>
      <w:r>
        <w:rPr>
          <w:rFonts w:hint="eastAsia" w:ascii="仿宋_GB2312" w:eastAsia="仿宋_GB2312"/>
          <w:color w:val="000000"/>
          <w:sz w:val="32"/>
          <w:szCs w:val="30"/>
          <w:u w:val="single"/>
        </w:rPr>
        <w:t xml:space="preserve">无 </w:t>
      </w:r>
      <w:r>
        <w:rPr>
          <w:rFonts w:hint="eastAsia" w:ascii="仿宋_GB2312" w:eastAsia="仿宋_GB2312"/>
          <w:sz w:val="32"/>
          <w:szCs w:val="30"/>
        </w:rPr>
        <w:t>。</w:t>
      </w:r>
    </w:p>
    <w:p>
      <w:pPr>
        <w:widowControl/>
        <w:spacing w:line="580" w:lineRule="exact"/>
        <w:ind w:firstLine="803" w:firstLineChars="250"/>
        <w:jc w:val="left"/>
        <w:rPr>
          <w:rFonts w:ascii="仿宋_GB2312" w:eastAsia="仿宋_GB2312"/>
          <w:b/>
          <w:sz w:val="32"/>
          <w:szCs w:val="30"/>
        </w:rPr>
      </w:pPr>
      <w:r>
        <w:rPr>
          <w:rFonts w:hint="eastAsia" w:ascii="仿宋_GB2312" w:eastAsia="仿宋_GB2312"/>
          <w:b/>
          <w:sz w:val="32"/>
          <w:szCs w:val="30"/>
        </w:rPr>
        <w:t>（九）绩效目标设置情况</w:t>
      </w:r>
    </w:p>
    <w:p>
      <w:pPr>
        <w:widowControl/>
        <w:spacing w:line="580" w:lineRule="exact"/>
        <w:ind w:firstLine="800" w:firstLineChars="250"/>
        <w:jc w:val="left"/>
        <w:rPr>
          <w:rFonts w:ascii="仿宋_GB2312" w:eastAsia="仿宋_GB2312"/>
          <w:sz w:val="32"/>
          <w:szCs w:val="30"/>
        </w:rPr>
      </w:pPr>
      <w:r>
        <w:rPr>
          <w:rFonts w:hint="eastAsia" w:ascii="仿宋_GB2312" w:eastAsia="仿宋_GB2312"/>
          <w:sz w:val="32"/>
          <w:szCs w:val="30"/>
        </w:rPr>
        <w:t>2022年实行绩效目标管理的项目</w:t>
      </w:r>
      <w:r>
        <w:rPr>
          <w:rFonts w:hint="eastAsia" w:ascii="仿宋_GB2312" w:eastAsia="仿宋_GB2312"/>
          <w:sz w:val="32"/>
          <w:szCs w:val="30"/>
          <w:u w:val="single"/>
        </w:rPr>
        <w:t xml:space="preserve"> 14    </w:t>
      </w:r>
      <w:r>
        <w:rPr>
          <w:rFonts w:hint="eastAsia" w:ascii="仿宋_GB2312" w:eastAsia="仿宋_GB2312"/>
          <w:sz w:val="32"/>
          <w:szCs w:val="30"/>
        </w:rPr>
        <w:t>个，涉及资金</w:t>
      </w:r>
      <w:r>
        <w:rPr>
          <w:rFonts w:hint="eastAsia" w:ascii="仿宋_GB2312" w:eastAsia="仿宋_GB2312"/>
          <w:sz w:val="32"/>
          <w:szCs w:val="30"/>
          <w:u w:val="single"/>
        </w:rPr>
        <w:t xml:space="preserve"> 5550.5    </w:t>
      </w:r>
      <w:r>
        <w:rPr>
          <w:rFonts w:hint="eastAsia" w:ascii="仿宋_GB2312" w:eastAsia="仿宋_GB2312"/>
          <w:sz w:val="32"/>
          <w:szCs w:val="30"/>
        </w:rPr>
        <w:t>万元。</w:t>
      </w:r>
    </w:p>
    <w:p>
      <w:pPr>
        <w:widowControl/>
        <w:spacing w:line="580" w:lineRule="exact"/>
        <w:ind w:firstLine="803" w:firstLineChars="250"/>
        <w:jc w:val="left"/>
        <w:rPr>
          <w:rFonts w:ascii="仿宋_GB2312" w:eastAsia="仿宋_GB2312"/>
          <w:b/>
          <w:sz w:val="32"/>
          <w:szCs w:val="30"/>
        </w:rPr>
      </w:pPr>
      <w:r>
        <w:rPr>
          <w:rFonts w:hint="eastAsia" w:ascii="仿宋_GB2312" w:eastAsia="仿宋_GB2312"/>
          <w:b/>
          <w:sz w:val="32"/>
          <w:szCs w:val="30"/>
        </w:rPr>
        <w:t>（十）项目情况说明</w:t>
      </w:r>
    </w:p>
    <w:p>
      <w:pPr>
        <w:widowControl/>
        <w:spacing w:line="580" w:lineRule="exact"/>
        <w:ind w:firstLine="800" w:firstLineChars="250"/>
        <w:jc w:val="left"/>
        <w:rPr>
          <w:rFonts w:ascii="仿宋_GB2312" w:eastAsia="仿宋_GB2312"/>
          <w:sz w:val="32"/>
          <w:szCs w:val="30"/>
        </w:rPr>
      </w:pPr>
      <w:r>
        <w:rPr>
          <w:rFonts w:hint="eastAsia" w:ascii="仿宋_GB2312" w:eastAsia="仿宋_GB2312"/>
          <w:sz w:val="32"/>
          <w:szCs w:val="30"/>
        </w:rPr>
        <w:t>1.公共卫生项目</w:t>
      </w:r>
    </w:p>
    <w:p>
      <w:pPr>
        <w:widowControl/>
        <w:spacing w:line="580" w:lineRule="exact"/>
        <w:ind w:firstLine="800" w:firstLineChars="250"/>
        <w:jc w:val="left"/>
        <w:rPr>
          <w:rFonts w:hint="eastAsia" w:ascii="仿宋_GB2312" w:eastAsia="仿宋_GB2312"/>
          <w:sz w:val="32"/>
          <w:szCs w:val="30"/>
        </w:rPr>
      </w:pPr>
      <w:r>
        <w:rPr>
          <w:rFonts w:hint="eastAsia" w:ascii="仿宋_GB2312" w:eastAsia="仿宋_GB2312"/>
          <w:sz w:val="32"/>
          <w:szCs w:val="30"/>
        </w:rPr>
        <w:t xml:space="preserve">   ①项目概述</w:t>
      </w:r>
    </w:p>
    <w:p>
      <w:pPr>
        <w:widowControl/>
        <w:spacing w:line="580" w:lineRule="exact"/>
        <w:ind w:firstLine="800" w:firstLineChars="250"/>
        <w:jc w:val="left"/>
        <w:rPr>
          <w:rFonts w:ascii="仿宋_GB2312" w:eastAsia="仿宋_GB2312"/>
          <w:sz w:val="32"/>
          <w:szCs w:val="30"/>
        </w:rPr>
      </w:pPr>
      <w:r>
        <w:rPr>
          <w:rFonts w:hint="eastAsia" w:ascii="仿宋_GB2312" w:eastAsia="仿宋_GB2312"/>
          <w:sz w:val="32"/>
          <w:szCs w:val="30"/>
        </w:rPr>
        <w:t>2022年广丰区基本公共卫生</w:t>
      </w:r>
    </w:p>
    <w:p>
      <w:pPr>
        <w:widowControl/>
        <w:spacing w:line="580" w:lineRule="exact"/>
        <w:ind w:firstLine="800" w:firstLineChars="250"/>
        <w:jc w:val="left"/>
        <w:rPr>
          <w:rFonts w:hint="eastAsia" w:ascii="仿宋_GB2312" w:eastAsia="仿宋_GB2312"/>
          <w:sz w:val="32"/>
          <w:szCs w:val="30"/>
        </w:rPr>
      </w:pPr>
      <w:r>
        <w:rPr>
          <w:rFonts w:hint="eastAsia" w:ascii="仿宋_GB2312" w:eastAsia="仿宋_GB2312"/>
          <w:sz w:val="32"/>
          <w:szCs w:val="30"/>
        </w:rPr>
        <w:t xml:space="preserve">   ②立项依据</w:t>
      </w:r>
    </w:p>
    <w:p>
      <w:pPr>
        <w:widowControl/>
        <w:spacing w:line="580" w:lineRule="exact"/>
        <w:ind w:firstLine="800" w:firstLineChars="250"/>
        <w:jc w:val="left"/>
        <w:rPr>
          <w:rFonts w:ascii="仿宋_GB2312" w:eastAsia="仿宋_GB2312"/>
          <w:sz w:val="32"/>
          <w:szCs w:val="30"/>
        </w:rPr>
      </w:pPr>
      <w:r>
        <w:rPr>
          <w:rFonts w:hint="eastAsia" w:ascii="仿宋_GB2312" w:eastAsia="仿宋_GB2312"/>
          <w:sz w:val="32"/>
          <w:szCs w:val="30"/>
        </w:rPr>
        <w:t>关于印发（2022年江西省基本公共卫生服务实施方案）</w:t>
      </w:r>
    </w:p>
    <w:p>
      <w:pPr>
        <w:widowControl/>
        <w:spacing w:line="580" w:lineRule="exact"/>
        <w:ind w:firstLine="1280" w:firstLineChars="400"/>
        <w:jc w:val="left"/>
        <w:rPr>
          <w:rFonts w:hint="eastAsia" w:ascii="仿宋_GB2312" w:eastAsia="仿宋_GB2312"/>
          <w:sz w:val="32"/>
          <w:szCs w:val="30"/>
        </w:rPr>
      </w:pPr>
      <w:r>
        <w:rPr>
          <w:rFonts w:hint="eastAsia" w:ascii="仿宋_GB2312" w:eastAsia="仿宋_GB2312"/>
          <w:sz w:val="32"/>
          <w:szCs w:val="30"/>
        </w:rPr>
        <w:t>③实施主体</w:t>
      </w:r>
    </w:p>
    <w:p>
      <w:pPr>
        <w:widowControl/>
        <w:spacing w:line="580" w:lineRule="exact"/>
        <w:ind w:firstLine="1280" w:firstLineChars="400"/>
        <w:jc w:val="left"/>
        <w:rPr>
          <w:rFonts w:ascii="仿宋_GB2312" w:eastAsia="仿宋_GB2312"/>
          <w:sz w:val="32"/>
          <w:szCs w:val="30"/>
        </w:rPr>
      </w:pPr>
      <w:r>
        <w:rPr>
          <w:rFonts w:hint="eastAsia" w:ascii="仿宋_GB2312" w:eastAsia="仿宋_GB2312"/>
          <w:sz w:val="32"/>
          <w:szCs w:val="30"/>
        </w:rPr>
        <w:t>广丰区卫生健康委员会</w:t>
      </w:r>
    </w:p>
    <w:p>
      <w:pPr>
        <w:widowControl/>
        <w:spacing w:line="580" w:lineRule="exact"/>
        <w:ind w:firstLine="1280" w:firstLineChars="400"/>
        <w:jc w:val="left"/>
        <w:rPr>
          <w:rFonts w:hint="eastAsia" w:ascii="仿宋_GB2312" w:eastAsia="仿宋_GB2312"/>
          <w:sz w:val="32"/>
          <w:szCs w:val="30"/>
        </w:rPr>
      </w:pPr>
      <w:r>
        <w:rPr>
          <w:rFonts w:hint="eastAsia" w:ascii="仿宋_GB2312" w:eastAsia="仿宋_GB2312"/>
          <w:sz w:val="32"/>
          <w:szCs w:val="30"/>
        </w:rPr>
        <w:t>④实施方案</w:t>
      </w:r>
    </w:p>
    <w:p>
      <w:pPr>
        <w:widowControl/>
        <w:spacing w:line="580" w:lineRule="exact"/>
        <w:ind w:firstLine="800" w:firstLineChars="250"/>
        <w:jc w:val="left"/>
        <w:rPr>
          <w:rFonts w:ascii="仿宋_GB2312" w:eastAsia="仿宋_GB2312"/>
          <w:sz w:val="32"/>
          <w:szCs w:val="30"/>
        </w:rPr>
      </w:pPr>
      <w:r>
        <w:rPr>
          <w:rFonts w:hint="eastAsia" w:ascii="仿宋_GB2312" w:eastAsia="仿宋_GB2312"/>
          <w:sz w:val="32"/>
          <w:szCs w:val="30"/>
        </w:rPr>
        <w:t>关于印发（2022年江西省基本公共卫生服务实施方案）</w:t>
      </w:r>
    </w:p>
    <w:p>
      <w:pPr>
        <w:widowControl/>
        <w:spacing w:line="580" w:lineRule="exact"/>
        <w:ind w:firstLine="1280" w:firstLineChars="400"/>
        <w:jc w:val="left"/>
        <w:rPr>
          <w:rFonts w:hint="eastAsia" w:ascii="仿宋_GB2312" w:eastAsia="仿宋_GB2312"/>
          <w:sz w:val="32"/>
          <w:szCs w:val="30"/>
        </w:rPr>
      </w:pPr>
      <w:r>
        <w:rPr>
          <w:rFonts w:hint="eastAsia" w:ascii="仿宋_GB2312" w:eastAsia="仿宋_GB2312"/>
          <w:sz w:val="32"/>
          <w:szCs w:val="30"/>
        </w:rPr>
        <w:t>⑤实施周期</w:t>
      </w:r>
    </w:p>
    <w:p>
      <w:pPr>
        <w:widowControl/>
        <w:spacing w:line="580" w:lineRule="exact"/>
        <w:ind w:firstLine="1280" w:firstLineChars="400"/>
        <w:jc w:val="left"/>
        <w:rPr>
          <w:rFonts w:ascii="仿宋_GB2312" w:eastAsia="仿宋_GB2312"/>
          <w:sz w:val="32"/>
          <w:szCs w:val="30"/>
        </w:rPr>
      </w:pPr>
      <w:r>
        <w:rPr>
          <w:rFonts w:hint="eastAsia" w:ascii="仿宋_GB2312" w:eastAsia="仿宋_GB2312"/>
          <w:sz w:val="32"/>
          <w:szCs w:val="30"/>
        </w:rPr>
        <w:t>长期</w:t>
      </w:r>
    </w:p>
    <w:p>
      <w:pPr>
        <w:widowControl/>
        <w:spacing w:line="580" w:lineRule="exact"/>
        <w:ind w:firstLine="1280" w:firstLineChars="400"/>
        <w:jc w:val="left"/>
        <w:rPr>
          <w:rFonts w:hint="eastAsia" w:ascii="仿宋_GB2312" w:eastAsia="仿宋_GB2312"/>
          <w:sz w:val="32"/>
          <w:szCs w:val="30"/>
        </w:rPr>
      </w:pPr>
      <w:r>
        <w:rPr>
          <w:rFonts w:hint="eastAsia" w:ascii="仿宋_GB2312" w:eastAsia="仿宋_GB2312"/>
          <w:sz w:val="32"/>
          <w:szCs w:val="30"/>
        </w:rPr>
        <w:t>⑥年度预算安排</w:t>
      </w:r>
    </w:p>
    <w:p>
      <w:pPr>
        <w:widowControl/>
        <w:spacing w:line="580" w:lineRule="exact"/>
        <w:ind w:firstLine="1280" w:firstLineChars="400"/>
        <w:jc w:val="left"/>
        <w:rPr>
          <w:rFonts w:ascii="仿宋_GB2312" w:eastAsia="仿宋_GB2312"/>
          <w:sz w:val="32"/>
          <w:szCs w:val="30"/>
        </w:rPr>
      </w:pPr>
      <w:r>
        <w:rPr>
          <w:rFonts w:hint="eastAsia" w:ascii="仿宋_GB2312" w:eastAsia="仿宋_GB2312"/>
          <w:sz w:val="32"/>
          <w:szCs w:val="30"/>
        </w:rPr>
        <w:t>2022年广丰区基本公共卫生服务人口数77.91万人，按服务人口每人每年70元。</w:t>
      </w:r>
    </w:p>
    <w:p>
      <w:pPr>
        <w:widowControl/>
        <w:spacing w:line="580" w:lineRule="exact"/>
        <w:ind w:firstLine="1280" w:firstLineChars="400"/>
        <w:jc w:val="left"/>
        <w:rPr>
          <w:rFonts w:ascii="仿宋_GB2312" w:eastAsia="仿宋_GB2312"/>
          <w:sz w:val="32"/>
          <w:szCs w:val="30"/>
        </w:rPr>
      </w:pPr>
      <w:r>
        <w:rPr>
          <w:rFonts w:hint="eastAsia" w:ascii="仿宋_GB2312" w:eastAsia="仿宋_GB2312"/>
          <w:sz w:val="32"/>
          <w:szCs w:val="30"/>
        </w:rPr>
        <w:t>⑦绩效目标和指标</w:t>
      </w:r>
    </w:p>
    <w:p>
      <w:pPr>
        <w:widowControl/>
        <w:spacing w:line="580" w:lineRule="exact"/>
        <w:jc w:val="left"/>
        <w:rPr>
          <w:rFonts w:ascii="仿宋_GB2312" w:eastAsia="仿宋_GB2312"/>
          <w:sz w:val="32"/>
          <w:szCs w:val="30"/>
        </w:rPr>
      </w:pPr>
      <w:r>
        <w:rPr>
          <w:rFonts w:hint="eastAsia" w:ascii="仿宋_GB2312" w:eastAsia="仿宋_GB2312"/>
          <w:sz w:val="32"/>
          <w:szCs w:val="30"/>
        </w:rPr>
        <w:t xml:space="preserve">   </w:t>
      </w:r>
    </w:p>
    <w:p>
      <w:pPr>
        <w:widowControl/>
        <w:spacing w:line="580" w:lineRule="exact"/>
        <w:ind w:firstLine="640"/>
        <w:jc w:val="left"/>
        <w:rPr>
          <w:rFonts w:ascii="楷体_GB2312" w:eastAsia="楷体_GB2312"/>
          <w:b/>
          <w:sz w:val="32"/>
          <w:szCs w:val="30"/>
        </w:rPr>
      </w:pPr>
      <w:r>
        <w:rPr>
          <w:rFonts w:hint="eastAsia" w:ascii="楷体_GB2312" w:hAnsi="Calibri" w:eastAsia="楷体_GB2312" w:cs="宋体"/>
          <w:b/>
          <w:kern w:val="0"/>
          <w:sz w:val="32"/>
          <w:szCs w:val="32"/>
        </w:rPr>
        <w:t>二、</w:t>
      </w:r>
      <w:r>
        <w:rPr>
          <w:rFonts w:hint="eastAsia" w:ascii="楷体_GB2312" w:eastAsia="楷体_GB2312"/>
          <w:b/>
          <w:sz w:val="32"/>
          <w:szCs w:val="30"/>
        </w:rPr>
        <w:t>2022年“三公</w:t>
      </w:r>
      <w:r>
        <w:rPr>
          <w:rFonts w:ascii="楷体_GB2312" w:eastAsia="楷体_GB2312"/>
          <w:b/>
          <w:sz w:val="32"/>
          <w:szCs w:val="30"/>
        </w:rPr>
        <w:t>”</w:t>
      </w:r>
      <w:r>
        <w:rPr>
          <w:rFonts w:hint="eastAsia" w:ascii="楷体_GB2312" w:eastAsia="楷体_GB2312"/>
          <w:b/>
          <w:sz w:val="32"/>
          <w:szCs w:val="30"/>
        </w:rPr>
        <w:t>经费预算情况说明</w:t>
      </w:r>
    </w:p>
    <w:p>
      <w:pPr>
        <w:ind w:firstLine="640"/>
        <w:rPr>
          <w:rFonts w:ascii="仿宋_GB2312" w:hAnsi="黑体" w:eastAsia="仿宋_GB2312"/>
          <w:sz w:val="32"/>
          <w:szCs w:val="32"/>
        </w:rPr>
      </w:pPr>
      <w:r>
        <w:rPr>
          <w:rFonts w:hint="eastAsia" w:ascii="仿宋_GB2312" w:hAnsi="黑体" w:eastAsia="仿宋_GB2312"/>
          <w:sz w:val="32"/>
          <w:szCs w:val="32"/>
        </w:rPr>
        <w:t>2021年上饶市广丰区卫生健康委员会单位“三公”经费年初安排30万元。其中：</w:t>
      </w:r>
    </w:p>
    <w:p>
      <w:pPr>
        <w:ind w:firstLine="640"/>
        <w:rPr>
          <w:rFonts w:ascii="仿宋_GB2312" w:eastAsia="仿宋_GB2312" w:hAnsiTheme="minorEastAsia"/>
          <w:sz w:val="30"/>
          <w:szCs w:val="30"/>
        </w:rPr>
      </w:pPr>
      <w:r>
        <w:rPr>
          <w:rFonts w:hint="eastAsia" w:ascii="仿宋_GB2312" w:hAnsi="黑体" w:eastAsia="仿宋_GB2312"/>
          <w:sz w:val="32"/>
          <w:szCs w:val="32"/>
        </w:rPr>
        <w:t>公务接待费30万元，大致与上年持平，主要原因是：</w:t>
      </w:r>
      <w:r>
        <w:rPr>
          <w:rFonts w:hint="eastAsia" w:ascii="仿宋_GB2312" w:eastAsia="仿宋_GB2312" w:hAnsiTheme="minorEastAsia"/>
          <w:color w:val="333333"/>
          <w:sz w:val="30"/>
          <w:szCs w:val="30"/>
          <w:shd w:val="clear" w:color="auto" w:fill="FFFFFF"/>
        </w:rPr>
        <w:t>本单位严格执行中央八项规定、《党政机关厉行节约反对浪费条例》等规定，牢固树立过紧日子的思想，坚持从严从简、勤俭办一切事业。</w:t>
      </w:r>
    </w:p>
    <w:p>
      <w:pPr>
        <w:ind w:firstLine="640"/>
        <w:rPr>
          <w:rFonts w:ascii="仿宋_GB2312" w:eastAsia="仿宋_GB2312" w:hAnsiTheme="minorEastAsia"/>
          <w:sz w:val="30"/>
          <w:szCs w:val="30"/>
        </w:rPr>
      </w:pPr>
      <w:r>
        <w:rPr>
          <w:rFonts w:hint="eastAsia" w:ascii="仿宋_GB2312" w:eastAsia="仿宋_GB2312" w:hAnsiTheme="minorEastAsia"/>
          <w:sz w:val="30"/>
          <w:szCs w:val="30"/>
        </w:rPr>
        <w:t>公务用车运行维护费0万元，与上年大致保持一致，无公务用车支出。主要原因：严格落实公车使用规定。</w:t>
      </w:r>
    </w:p>
    <w:p>
      <w:pPr>
        <w:ind w:firstLine="640"/>
        <w:rPr>
          <w:rFonts w:ascii="仿宋_GB2312" w:hAnsi="黑体" w:eastAsia="仿宋_GB2312"/>
          <w:sz w:val="32"/>
          <w:szCs w:val="32"/>
        </w:rPr>
      </w:pPr>
      <w:r>
        <w:rPr>
          <w:rFonts w:hint="eastAsia" w:ascii="仿宋_GB2312" w:hAnsi="黑体" w:eastAsia="仿宋_GB2312"/>
          <w:sz w:val="32"/>
          <w:szCs w:val="32"/>
        </w:rPr>
        <w:t>公务用车购置费0万元，比上年无变化，本单位无公务用车购置费预算。</w:t>
      </w:r>
    </w:p>
    <w:p>
      <w:pPr>
        <w:ind w:firstLine="640"/>
        <w:rPr>
          <w:rFonts w:ascii="仿宋_GB2312" w:hAnsi="黑体" w:eastAsia="仿宋_GB2312"/>
          <w:sz w:val="32"/>
          <w:szCs w:val="32"/>
        </w:rPr>
      </w:pPr>
      <w:r>
        <w:rPr>
          <w:rFonts w:hint="eastAsia" w:ascii="仿宋_GB2312" w:hAnsi="黑体" w:eastAsia="仿宋_GB2312"/>
          <w:sz w:val="32"/>
          <w:szCs w:val="32"/>
        </w:rPr>
        <w:t>因公出国（境）费0万元，比上年无变化，本单位无人员因公出国（境）。</w:t>
      </w:r>
    </w:p>
    <w:p>
      <w:pPr>
        <w:widowControl/>
        <w:spacing w:line="600" w:lineRule="exact"/>
        <w:ind w:firstLine="640"/>
        <w:jc w:val="left"/>
        <w:rPr>
          <w:rFonts w:ascii="仿宋_GB2312" w:eastAsia="仿宋_GB2312"/>
          <w:b/>
          <w:sz w:val="32"/>
          <w:szCs w:val="30"/>
        </w:rPr>
      </w:pPr>
      <w:r>
        <w:rPr>
          <w:rFonts w:hint="eastAsia" w:ascii="仿宋_GB2312" w:eastAsia="仿宋_GB2312"/>
          <w:b/>
          <w:sz w:val="32"/>
          <w:szCs w:val="30"/>
        </w:rPr>
        <w:t>第三部分  上饶市广丰区卫健委 2022年部门预算表</w:t>
      </w:r>
    </w:p>
    <w:p>
      <w:pPr>
        <w:widowControl/>
        <w:spacing w:line="600" w:lineRule="exact"/>
        <w:ind w:firstLine="1280" w:firstLineChars="400"/>
        <w:jc w:val="left"/>
        <w:rPr>
          <w:rFonts w:ascii="楷体_GB2312" w:eastAsia="楷体_GB2312"/>
          <w:sz w:val="32"/>
          <w:szCs w:val="30"/>
        </w:rPr>
      </w:pPr>
      <w:r>
        <w:rPr>
          <w:rFonts w:hint="eastAsia" w:ascii="楷体_GB2312" w:eastAsia="楷体_GB2312"/>
          <w:sz w:val="32"/>
          <w:szCs w:val="30"/>
        </w:rPr>
        <w:t>一、《部门预算收支总表》</w:t>
      </w:r>
    </w:p>
    <w:p>
      <w:pPr>
        <w:widowControl/>
        <w:spacing w:line="600" w:lineRule="exact"/>
        <w:ind w:firstLine="1280" w:firstLineChars="400"/>
        <w:jc w:val="left"/>
        <w:rPr>
          <w:rFonts w:ascii="楷体_GB2312" w:eastAsia="楷体_GB2312"/>
          <w:sz w:val="32"/>
          <w:szCs w:val="30"/>
        </w:rPr>
      </w:pPr>
      <w:r>
        <w:rPr>
          <w:rFonts w:hint="eastAsia" w:ascii="楷体_GB2312" w:eastAsia="楷体_GB2312"/>
          <w:sz w:val="32"/>
          <w:szCs w:val="30"/>
        </w:rPr>
        <w:t>二、《部门收入总表》</w:t>
      </w:r>
    </w:p>
    <w:p>
      <w:pPr>
        <w:widowControl/>
        <w:spacing w:line="600" w:lineRule="exact"/>
        <w:ind w:firstLine="1280" w:firstLineChars="400"/>
        <w:jc w:val="left"/>
        <w:rPr>
          <w:rFonts w:ascii="楷体_GB2312" w:eastAsia="楷体_GB2312"/>
          <w:sz w:val="32"/>
          <w:szCs w:val="30"/>
        </w:rPr>
      </w:pPr>
      <w:r>
        <w:rPr>
          <w:rFonts w:hint="eastAsia" w:ascii="楷体_GB2312" w:eastAsia="楷体_GB2312"/>
          <w:sz w:val="32"/>
          <w:szCs w:val="30"/>
        </w:rPr>
        <w:t>三、《部门支出总表》</w:t>
      </w:r>
    </w:p>
    <w:p>
      <w:pPr>
        <w:widowControl/>
        <w:spacing w:line="600" w:lineRule="exact"/>
        <w:ind w:firstLine="1280" w:firstLineChars="400"/>
        <w:jc w:val="left"/>
        <w:rPr>
          <w:rFonts w:ascii="楷体_GB2312" w:eastAsia="楷体_GB2312"/>
          <w:sz w:val="32"/>
          <w:szCs w:val="30"/>
        </w:rPr>
      </w:pPr>
      <w:r>
        <w:rPr>
          <w:rFonts w:hint="eastAsia" w:ascii="楷体_GB2312" w:eastAsia="楷体_GB2312"/>
          <w:sz w:val="32"/>
          <w:szCs w:val="30"/>
        </w:rPr>
        <w:t>四、《财政拨款收支总表》</w:t>
      </w:r>
    </w:p>
    <w:p>
      <w:pPr>
        <w:widowControl/>
        <w:spacing w:line="600" w:lineRule="exact"/>
        <w:ind w:firstLine="1280" w:firstLineChars="400"/>
        <w:jc w:val="left"/>
        <w:rPr>
          <w:rFonts w:ascii="楷体_GB2312" w:eastAsia="楷体_GB2312"/>
          <w:sz w:val="32"/>
          <w:szCs w:val="30"/>
        </w:rPr>
      </w:pPr>
      <w:r>
        <w:rPr>
          <w:rFonts w:hint="eastAsia" w:ascii="楷体_GB2312" w:eastAsia="楷体_GB2312"/>
          <w:sz w:val="32"/>
          <w:szCs w:val="30"/>
        </w:rPr>
        <w:t>五、《一般公共预算支出表》</w:t>
      </w:r>
    </w:p>
    <w:p>
      <w:pPr>
        <w:widowControl/>
        <w:spacing w:line="600" w:lineRule="exact"/>
        <w:ind w:firstLine="1280" w:firstLineChars="400"/>
        <w:jc w:val="left"/>
        <w:rPr>
          <w:rFonts w:ascii="楷体_GB2312" w:eastAsia="楷体_GB2312"/>
          <w:sz w:val="32"/>
          <w:szCs w:val="30"/>
        </w:rPr>
      </w:pPr>
      <w:r>
        <w:rPr>
          <w:rFonts w:hint="eastAsia" w:ascii="楷体_GB2312" w:eastAsia="楷体_GB2312"/>
          <w:sz w:val="32"/>
          <w:szCs w:val="30"/>
        </w:rPr>
        <w:t>六、《一般公共预算基本支出表》</w:t>
      </w:r>
    </w:p>
    <w:p>
      <w:pPr>
        <w:widowControl/>
        <w:spacing w:line="600" w:lineRule="exact"/>
        <w:ind w:firstLine="1280" w:firstLineChars="400"/>
        <w:jc w:val="left"/>
        <w:rPr>
          <w:rFonts w:ascii="楷体_GB2312" w:eastAsia="楷体_GB2312"/>
          <w:sz w:val="32"/>
          <w:szCs w:val="30"/>
        </w:rPr>
      </w:pPr>
      <w:r>
        <w:rPr>
          <w:rFonts w:hint="eastAsia" w:ascii="楷体_GB2312" w:eastAsia="楷体_GB2312"/>
          <w:sz w:val="32"/>
          <w:szCs w:val="30"/>
        </w:rPr>
        <w:t>七、《一般公共预算“三公”经费支出表》</w:t>
      </w:r>
    </w:p>
    <w:p>
      <w:pPr>
        <w:widowControl/>
        <w:spacing w:line="600" w:lineRule="exact"/>
        <w:ind w:firstLine="1280" w:firstLineChars="400"/>
        <w:jc w:val="left"/>
        <w:rPr>
          <w:rFonts w:ascii="楷体_GB2312" w:eastAsia="楷体_GB2312"/>
          <w:sz w:val="32"/>
          <w:szCs w:val="30"/>
        </w:rPr>
      </w:pPr>
      <w:r>
        <w:rPr>
          <w:rFonts w:hint="eastAsia" w:ascii="楷体_GB2312" w:eastAsia="楷体_GB2312"/>
          <w:sz w:val="32"/>
          <w:szCs w:val="30"/>
        </w:rPr>
        <w:t>八、《政府性基金预算支出表》</w:t>
      </w:r>
    </w:p>
    <w:p>
      <w:pPr>
        <w:widowControl/>
        <w:spacing w:line="600" w:lineRule="exact"/>
        <w:ind w:firstLine="1280" w:firstLineChars="400"/>
        <w:jc w:val="left"/>
        <w:rPr>
          <w:rFonts w:ascii="楷体_GB2312" w:eastAsia="楷体_GB2312"/>
          <w:sz w:val="32"/>
          <w:szCs w:val="30"/>
        </w:rPr>
      </w:pPr>
      <w:r>
        <w:rPr>
          <w:rFonts w:hint="eastAsia" w:ascii="楷体_GB2312" w:eastAsia="楷体_GB2312"/>
          <w:sz w:val="32"/>
          <w:szCs w:val="30"/>
        </w:rPr>
        <w:t>九、《国有资本经营预算支出表》</w:t>
      </w:r>
    </w:p>
    <w:p>
      <w:pPr>
        <w:widowControl/>
        <w:spacing w:line="600" w:lineRule="exact"/>
        <w:ind w:firstLine="1280" w:firstLineChars="400"/>
        <w:jc w:val="left"/>
        <w:rPr>
          <w:rFonts w:ascii="楷体_GB2312" w:eastAsia="楷体_GB2312"/>
          <w:sz w:val="32"/>
          <w:szCs w:val="30"/>
        </w:rPr>
      </w:pPr>
      <w:r>
        <w:rPr>
          <w:rFonts w:hint="eastAsia" w:ascii="楷体_GB2312" w:eastAsia="楷体_GB2312"/>
          <w:sz w:val="32"/>
          <w:szCs w:val="30"/>
        </w:rPr>
        <w:t>十、《部门整体支出绩效目标表》</w:t>
      </w:r>
    </w:p>
    <w:p>
      <w:pPr>
        <w:widowControl/>
        <w:spacing w:line="600" w:lineRule="exact"/>
        <w:ind w:firstLine="1280" w:firstLineChars="400"/>
        <w:jc w:val="left"/>
        <w:rPr>
          <w:rFonts w:ascii="楷体_GB2312" w:eastAsia="楷体_GB2312"/>
          <w:sz w:val="32"/>
          <w:szCs w:val="30"/>
        </w:rPr>
      </w:pPr>
      <w:r>
        <w:rPr>
          <w:rFonts w:hint="eastAsia" w:ascii="楷体_GB2312" w:eastAsia="楷体_GB2312"/>
          <w:sz w:val="32"/>
          <w:szCs w:val="30"/>
        </w:rPr>
        <w:t>十一、《重点项目绩效目标表》</w:t>
      </w:r>
    </w:p>
    <w:p>
      <w:pPr>
        <w:ind w:firstLine="1280" w:firstLineChars="400"/>
        <w:rPr>
          <w:rFonts w:ascii="仿宋_GB2312" w:hAnsi="黑体" w:eastAsia="仿宋_GB2312"/>
          <w:sz w:val="32"/>
          <w:szCs w:val="32"/>
        </w:rPr>
      </w:pPr>
      <w:r>
        <w:rPr>
          <w:rFonts w:hint="eastAsia" w:ascii="仿宋_GB2312" w:hAnsi="黑体" w:eastAsia="仿宋_GB2312"/>
          <w:sz w:val="32"/>
          <w:szCs w:val="32"/>
        </w:rPr>
        <w:t>十一张表（详见附表）</w:t>
      </w:r>
    </w:p>
    <w:p>
      <w:pPr>
        <w:rPr>
          <w:rFonts w:ascii="仿宋_GB2312" w:hAnsi="黑体" w:eastAsia="仿宋_GB2312"/>
          <w:b/>
          <w:bCs/>
          <w:sz w:val="32"/>
          <w:szCs w:val="32"/>
        </w:rPr>
      </w:pPr>
      <w:r>
        <w:rPr>
          <w:rFonts w:hint="eastAsia" w:ascii="仿宋_GB2312" w:hAnsi="黑体" w:eastAsia="仿宋_GB2312"/>
          <w:b/>
          <w:bCs/>
          <w:sz w:val="32"/>
          <w:szCs w:val="32"/>
        </w:rPr>
        <w:t>第四部分　名词解释</w:t>
      </w:r>
    </w:p>
    <w:p>
      <w:pPr>
        <w:ind w:firstLine="640"/>
        <w:rPr>
          <w:rFonts w:ascii="仿宋_GB2312" w:hAnsi="黑体" w:eastAsia="仿宋_GB2312"/>
          <w:sz w:val="32"/>
          <w:szCs w:val="32"/>
        </w:rPr>
      </w:pPr>
      <w:r>
        <w:rPr>
          <w:rFonts w:hint="eastAsia" w:ascii="仿宋_GB2312" w:hAnsi="黑体" w:eastAsia="仿宋_GB2312"/>
          <w:sz w:val="32"/>
          <w:szCs w:val="32"/>
        </w:rPr>
        <w:t>对部门预算中涉及的支出功能分类科目（明细到项级），结合部门实际，参照《2022年政府收支分类科目》的规范说明进行解释。</w:t>
      </w:r>
    </w:p>
    <w:p>
      <w:pPr>
        <w:shd w:val="clear" w:color="auto" w:fill="FFFFFF"/>
        <w:ind w:firstLine="480"/>
        <w:rPr>
          <w:rFonts w:ascii="仿宋_GB2312" w:hAnsi="仿宋" w:eastAsia="仿宋_GB2312" w:cs="宋体"/>
          <w:color w:val="333333"/>
          <w:sz w:val="30"/>
          <w:szCs w:val="30"/>
        </w:rPr>
      </w:pPr>
      <w:r>
        <w:rPr>
          <w:rFonts w:hint="eastAsia" w:ascii="仿宋_GB2312" w:hAnsi="仿宋" w:eastAsia="仿宋_GB2312" w:cs="宋体"/>
          <w:color w:val="333333"/>
          <w:sz w:val="30"/>
          <w:szCs w:val="30"/>
        </w:rPr>
        <w:t>（一）财政拨款：指省、市、区级财政当年拨付的资金。</w:t>
      </w:r>
    </w:p>
    <w:p>
      <w:pPr>
        <w:shd w:val="clear" w:color="auto" w:fill="FFFFFF"/>
        <w:ind w:firstLine="480"/>
        <w:rPr>
          <w:rFonts w:ascii="仿宋_GB2312" w:hAnsi="仿宋" w:eastAsia="仿宋_GB2312" w:cs="宋体"/>
          <w:color w:val="333333"/>
          <w:sz w:val="30"/>
          <w:szCs w:val="30"/>
        </w:rPr>
      </w:pPr>
      <w:r>
        <w:rPr>
          <w:rFonts w:hint="eastAsia" w:ascii="仿宋_GB2312" w:hAnsi="仿宋" w:eastAsia="仿宋_GB2312" w:cs="宋体"/>
          <w:color w:val="333333"/>
          <w:sz w:val="30"/>
          <w:szCs w:val="30"/>
        </w:rPr>
        <w:t>（二）事业收入：指事业单位开展专业业务活动及辅助活动取得的收入。</w:t>
      </w:r>
    </w:p>
    <w:p>
      <w:pPr>
        <w:shd w:val="clear" w:color="auto" w:fill="FFFFFF"/>
        <w:ind w:firstLine="480"/>
        <w:rPr>
          <w:rFonts w:ascii="仿宋_GB2312" w:hAnsi="仿宋" w:eastAsia="仿宋_GB2312" w:cs="宋体"/>
          <w:color w:val="333333"/>
          <w:sz w:val="30"/>
          <w:szCs w:val="30"/>
        </w:rPr>
      </w:pPr>
      <w:r>
        <w:rPr>
          <w:rFonts w:hint="eastAsia" w:ascii="仿宋_GB2312" w:hAnsi="仿宋" w:eastAsia="仿宋_GB2312" w:cs="宋体"/>
          <w:color w:val="333333"/>
          <w:sz w:val="30"/>
          <w:szCs w:val="30"/>
        </w:rPr>
        <w:t>（三）事业单位经营收入：指事业单位在专业业务活动及辅助活动之外开展非独立核算经营活动取得的收入。</w:t>
      </w:r>
    </w:p>
    <w:p>
      <w:pPr>
        <w:shd w:val="clear" w:color="auto" w:fill="FFFFFF"/>
        <w:ind w:firstLine="480"/>
        <w:rPr>
          <w:rFonts w:ascii="仿宋_GB2312" w:hAnsi="仿宋" w:eastAsia="仿宋_GB2312" w:cs="宋体"/>
          <w:color w:val="333333"/>
          <w:sz w:val="30"/>
          <w:szCs w:val="30"/>
        </w:rPr>
      </w:pPr>
      <w:r>
        <w:rPr>
          <w:rFonts w:hint="eastAsia" w:ascii="仿宋_GB2312" w:hAnsi="仿宋" w:eastAsia="仿宋_GB2312" w:cs="宋体"/>
          <w:color w:val="333333"/>
          <w:sz w:val="30"/>
          <w:szCs w:val="30"/>
        </w:rPr>
        <w:t>（四）其他收入：指除财政拨款、事业收入、事业单位经营收入等以外的各项收入。</w:t>
      </w:r>
    </w:p>
    <w:p>
      <w:pPr>
        <w:shd w:val="clear" w:color="auto" w:fill="FFFFFF"/>
        <w:ind w:firstLine="480"/>
        <w:rPr>
          <w:rFonts w:ascii="仿宋_GB2312" w:hAnsi="仿宋" w:eastAsia="仿宋_GB2312" w:cs="宋体"/>
          <w:color w:val="333333"/>
          <w:sz w:val="30"/>
          <w:szCs w:val="30"/>
        </w:rPr>
      </w:pPr>
      <w:r>
        <w:rPr>
          <w:rFonts w:hint="eastAsia" w:ascii="仿宋_GB2312" w:hAnsi="仿宋" w:eastAsia="仿宋_GB2312" w:cs="宋体"/>
          <w:color w:val="333333"/>
          <w:sz w:val="30"/>
          <w:szCs w:val="30"/>
        </w:rPr>
        <w:t>（五）上级补助收入：反映事业单位从主管部门和上级单位取得的非财政补助收入。</w:t>
      </w:r>
    </w:p>
    <w:p>
      <w:pPr>
        <w:shd w:val="clear" w:color="auto" w:fill="FFFFFF"/>
        <w:ind w:firstLine="480"/>
        <w:rPr>
          <w:rFonts w:ascii="仿宋_GB2312" w:hAnsi="仿宋" w:eastAsia="仿宋_GB2312" w:cs="宋体"/>
          <w:color w:val="333333"/>
          <w:sz w:val="30"/>
          <w:szCs w:val="30"/>
        </w:rPr>
      </w:pPr>
      <w:r>
        <w:rPr>
          <w:rFonts w:hint="eastAsia" w:ascii="仿宋_GB2312" w:hAnsi="仿宋" w:eastAsia="仿宋_GB2312" w:cs="宋体"/>
          <w:color w:val="333333"/>
          <w:sz w:val="30"/>
          <w:szCs w:val="30"/>
        </w:rPr>
        <w:t>（六）上年结转和结余：填列2021年全部结转和结余的资金数，包括当年结转结余资金和历年滚存结转结余资金</w:t>
      </w:r>
    </w:p>
    <w:p>
      <w:pPr>
        <w:widowControl/>
        <w:spacing w:line="580" w:lineRule="exact"/>
        <w:ind w:firstLine="640"/>
        <w:jc w:val="left"/>
        <w:rPr>
          <w:rFonts w:ascii="仿宋_GB2312" w:eastAsia="仿宋_GB2312"/>
          <w:sz w:val="32"/>
          <w:szCs w:val="30"/>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32AE1E"/>
    <w:multiLevelType w:val="singleLevel"/>
    <w:tmpl w:val="DF32AE1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3ZjczOGVkZThhMjNiNDQyYTgyNzY5YzI3Zjk3YjcifQ=="/>
  </w:docVars>
  <w:rsids>
    <w:rsidRoot w:val="00172A27"/>
    <w:rsid w:val="00033671"/>
    <w:rsid w:val="00035A8E"/>
    <w:rsid w:val="000425E9"/>
    <w:rsid w:val="000A1FB2"/>
    <w:rsid w:val="000C7F4B"/>
    <w:rsid w:val="001141A2"/>
    <w:rsid w:val="00136767"/>
    <w:rsid w:val="00172A27"/>
    <w:rsid w:val="001A7922"/>
    <w:rsid w:val="002036F6"/>
    <w:rsid w:val="00206D9B"/>
    <w:rsid w:val="002556B2"/>
    <w:rsid w:val="00256118"/>
    <w:rsid w:val="0028237E"/>
    <w:rsid w:val="002B66F6"/>
    <w:rsid w:val="002C2715"/>
    <w:rsid w:val="002C4FF8"/>
    <w:rsid w:val="002E174F"/>
    <w:rsid w:val="002F77B7"/>
    <w:rsid w:val="00334B45"/>
    <w:rsid w:val="003401BE"/>
    <w:rsid w:val="00377A26"/>
    <w:rsid w:val="003F7D27"/>
    <w:rsid w:val="00423394"/>
    <w:rsid w:val="004263BE"/>
    <w:rsid w:val="004667A9"/>
    <w:rsid w:val="004E750B"/>
    <w:rsid w:val="00527B43"/>
    <w:rsid w:val="00547328"/>
    <w:rsid w:val="00572AE8"/>
    <w:rsid w:val="005D5C1D"/>
    <w:rsid w:val="00684075"/>
    <w:rsid w:val="006C13B8"/>
    <w:rsid w:val="006C5F75"/>
    <w:rsid w:val="006D2B57"/>
    <w:rsid w:val="006E39F3"/>
    <w:rsid w:val="006E4D06"/>
    <w:rsid w:val="00707D9C"/>
    <w:rsid w:val="0073735B"/>
    <w:rsid w:val="007965AD"/>
    <w:rsid w:val="007A1461"/>
    <w:rsid w:val="007A5405"/>
    <w:rsid w:val="007C47D2"/>
    <w:rsid w:val="007C745D"/>
    <w:rsid w:val="007E24A5"/>
    <w:rsid w:val="007E2F3D"/>
    <w:rsid w:val="007F48EE"/>
    <w:rsid w:val="0081777F"/>
    <w:rsid w:val="00860CA9"/>
    <w:rsid w:val="008A2C19"/>
    <w:rsid w:val="008D121A"/>
    <w:rsid w:val="00915CFC"/>
    <w:rsid w:val="00937FD7"/>
    <w:rsid w:val="00946297"/>
    <w:rsid w:val="00947943"/>
    <w:rsid w:val="00950782"/>
    <w:rsid w:val="009632E5"/>
    <w:rsid w:val="0097747E"/>
    <w:rsid w:val="0099063C"/>
    <w:rsid w:val="009B0842"/>
    <w:rsid w:val="009B49D7"/>
    <w:rsid w:val="009B4DF2"/>
    <w:rsid w:val="009C33ED"/>
    <w:rsid w:val="009E2E44"/>
    <w:rsid w:val="009F5E96"/>
    <w:rsid w:val="00A273B6"/>
    <w:rsid w:val="00A771F7"/>
    <w:rsid w:val="00A8143E"/>
    <w:rsid w:val="00AA0446"/>
    <w:rsid w:val="00B1320F"/>
    <w:rsid w:val="00B22E33"/>
    <w:rsid w:val="00B50994"/>
    <w:rsid w:val="00B630E9"/>
    <w:rsid w:val="00B95DD5"/>
    <w:rsid w:val="00BB13FE"/>
    <w:rsid w:val="00BB2F5E"/>
    <w:rsid w:val="00BC0094"/>
    <w:rsid w:val="00BC17FE"/>
    <w:rsid w:val="00BE141F"/>
    <w:rsid w:val="00C02B45"/>
    <w:rsid w:val="00C243D0"/>
    <w:rsid w:val="00CD30BB"/>
    <w:rsid w:val="00CE3777"/>
    <w:rsid w:val="00D03AF0"/>
    <w:rsid w:val="00D51773"/>
    <w:rsid w:val="00D5259A"/>
    <w:rsid w:val="00DA0DDD"/>
    <w:rsid w:val="00DD169A"/>
    <w:rsid w:val="00E46769"/>
    <w:rsid w:val="00E675C1"/>
    <w:rsid w:val="00EA1A67"/>
    <w:rsid w:val="00EB1917"/>
    <w:rsid w:val="00F04158"/>
    <w:rsid w:val="00F11988"/>
    <w:rsid w:val="00F66CAE"/>
    <w:rsid w:val="00F7046D"/>
    <w:rsid w:val="00F85CAB"/>
    <w:rsid w:val="00F87917"/>
    <w:rsid w:val="00F94688"/>
    <w:rsid w:val="00FB443B"/>
    <w:rsid w:val="00FF737B"/>
    <w:rsid w:val="05B93D2F"/>
    <w:rsid w:val="0B9D1C27"/>
    <w:rsid w:val="14AB6099"/>
    <w:rsid w:val="23A966CE"/>
    <w:rsid w:val="4B7113AA"/>
    <w:rsid w:val="4FFF1067"/>
    <w:rsid w:val="50AD03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99"/>
    <w:pPr>
      <w:widowControl/>
      <w:spacing w:before="100" w:beforeAutospacing="1" w:after="100" w:afterAutospacing="1"/>
      <w:ind w:firstLine="360"/>
      <w:jc w:val="left"/>
    </w:pPr>
    <w:rPr>
      <w:rFonts w:ascii="宋体" w:hAnsi="宋体" w:cs="宋体"/>
      <w:kern w:val="0"/>
      <w:sz w:val="24"/>
      <w:szCs w:val="24"/>
      <w:lang w:eastAsia="en-US" w:bidi="en-US"/>
    </w:rPr>
  </w:style>
  <w:style w:type="paragraph" w:customStyle="1" w:styleId="7">
    <w:name w:val="正文文字缩进"/>
    <w:basedOn w:val="1"/>
    <w:next w:val="1"/>
    <w:qFormat/>
    <w:uiPriority w:val="0"/>
    <w:pPr>
      <w:widowControl/>
      <w:ind w:left="178" w:firstLine="361"/>
      <w:jc w:val="left"/>
    </w:pPr>
    <w:rPr>
      <w:rFonts w:ascii="Calibri" w:hAnsi="Calibri"/>
      <w:color w:val="000000"/>
      <w:kern w:val="0"/>
      <w:sz w:val="22"/>
      <w:szCs w:val="22"/>
      <w:lang w:eastAsia="en-US" w:bidi="en-US"/>
    </w:rPr>
  </w:style>
  <w:style w:type="character" w:customStyle="1" w:styleId="8">
    <w:name w:val="apple-converted-space"/>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3060</Words>
  <Characters>3354</Characters>
  <Lines>25</Lines>
  <Paragraphs>7</Paragraphs>
  <TotalTime>111</TotalTime>
  <ScaleCrop>false</ScaleCrop>
  <LinksUpToDate>false</LinksUpToDate>
  <CharactersWithSpaces>3445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2022-04-13T03:21:00Z</dcterms:created>
  <dc:creator>dell</dc:creator>
  <cp:lastModifiedBy>920953</cp:lastModifiedBy>
  <cp:lastPrinted>2022-02-11T02:16:00Z</cp:lastPrinted>
  <dcterms:modified xsi:type="dcterms:W3CDTF">2023-05-11T01:28:11Z</dcterms:modified>
  <dc:title>附件：</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3479D2FF992E4BC3A61C47E0BF3B4E15_12</vt:lpwstr>
  </property>
</Properties>
</file>